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115"/>
        <w:jc w:val="both"/>
        <w:rPr/>
      </w:pPr>
      <w:r>
        <w:rPr/>
        <w:t xml:space="preserve">Decoupling of resistance and tolerance </w:t>
      </w:r>
      <w:del w:id="0" w:author="Unknown Author" w:date="2020-01-20T10:14:25Z">
        <w:r>
          <w:rPr/>
          <w:delText>in</w:delText>
        </w:r>
      </w:del>
      <w:ins w:id="1" w:author="Unknown Author" w:date="2020-01-20T10:14:25Z">
        <w:r>
          <w:rPr/>
          <w:t xml:space="preserve"> </w:t>
        </w:r>
      </w:ins>
      <w:ins w:id="2" w:author="Unknown Author" w:date="2020-01-20T10:14:25Z">
        <w:r>
          <w:rPr>
            <w:sz w:val="28"/>
            <w:szCs w:val="28"/>
          </w:rPr>
          <w:t>against one of</w:t>
        </w:r>
      </w:ins>
      <w:r>
        <w:rPr/>
        <w:t xml:space="preserve"> two related parasites (</w:t>
      </w:r>
      <w:r>
        <w:rPr>
          <w:i/>
          <w:iCs/>
        </w:rPr>
        <w:t>Eimeria</w:t>
      </w:r>
      <w:r>
        <w:rPr/>
        <w:t>)</w:t>
      </w:r>
      <w:r>
        <w:rPr>
          <w:color w:val="000000"/>
        </w:rPr>
        <w:t xml:space="preserve"> in mice</w:t>
      </w:r>
    </w:p>
    <w:p>
      <w:pPr>
        <w:pStyle w:val="Heading1"/>
        <w:spacing w:lineRule="auto" w:line="276" w:before="0" w:after="120"/>
        <w:jc w:val="both"/>
        <w:rPr>
          <w:sz w:val="20"/>
          <w:szCs w:val="20"/>
        </w:rPr>
      </w:pPr>
      <w:r>
        <w:rPr>
          <w:b w:val="false"/>
          <w:color w:val="000000"/>
          <w:sz w:val="20"/>
          <w:szCs w:val="20"/>
        </w:rPr>
        <w:t>Alice Balard</w:t>
      </w:r>
      <w:r>
        <w:rPr>
          <w:b w:val="false"/>
          <w:color w:val="000000"/>
          <w:sz w:val="20"/>
          <w:szCs w:val="20"/>
          <w:vertAlign w:val="superscript"/>
        </w:rPr>
        <w:t>1,2</w:t>
      </w:r>
      <w:r>
        <w:rPr>
          <w:b w:val="false"/>
          <w:color w:val="000000"/>
          <w:sz w:val="20"/>
          <w:szCs w:val="20"/>
        </w:rPr>
        <w:t>, Víctor Hugo Jarquín-Díaz</w:t>
      </w:r>
      <w:r>
        <w:rPr>
          <w:b w:val="false"/>
          <w:color w:val="000000"/>
          <w:sz w:val="20"/>
          <w:szCs w:val="20"/>
          <w:vertAlign w:val="superscript"/>
        </w:rPr>
        <w:t>1,2</w:t>
      </w:r>
      <w:r>
        <w:rPr>
          <w:b w:val="false"/>
          <w:color w:val="000000"/>
          <w:sz w:val="20"/>
          <w:szCs w:val="20"/>
        </w:rPr>
        <w:t>, Jenny Jost</w:t>
      </w:r>
      <w:r>
        <w:rPr>
          <w:b w:val="false"/>
          <w:color w:val="000000"/>
          <w:sz w:val="20"/>
          <w:szCs w:val="20"/>
          <w:vertAlign w:val="superscript"/>
        </w:rPr>
        <w:t>1</w:t>
      </w:r>
      <w:r>
        <w:rPr>
          <w:b w:val="false"/>
          <w:color w:val="000000"/>
          <w:sz w:val="20"/>
          <w:szCs w:val="20"/>
        </w:rPr>
        <w:t>, Vivian Mittné</w:t>
      </w:r>
      <w:r>
        <w:rPr>
          <w:b w:val="false"/>
          <w:color w:val="000000"/>
          <w:sz w:val="20"/>
          <w:szCs w:val="20"/>
          <w:vertAlign w:val="superscript"/>
        </w:rPr>
        <w:t>1</w:t>
      </w:r>
      <w:r>
        <w:rPr>
          <w:b w:val="false"/>
          <w:color w:val="000000"/>
          <w:sz w:val="20"/>
          <w:szCs w:val="20"/>
        </w:rPr>
        <w:t>, Francisca Böhning</w:t>
      </w:r>
      <w:r>
        <w:rPr>
          <w:b w:val="false"/>
          <w:color w:val="000000"/>
          <w:sz w:val="20"/>
          <w:szCs w:val="20"/>
          <w:vertAlign w:val="superscript"/>
        </w:rPr>
        <w:t>1</w:t>
      </w:r>
      <w:r>
        <w:rPr>
          <w:b w:val="false"/>
          <w:color w:val="000000"/>
          <w:sz w:val="20"/>
          <w:szCs w:val="20"/>
        </w:rPr>
        <w:t>, Ľudovít Ďureje</w:t>
      </w:r>
      <w:r>
        <w:rPr>
          <w:b w:val="false"/>
          <w:color w:val="000000"/>
          <w:sz w:val="20"/>
          <w:szCs w:val="20"/>
          <w:vertAlign w:val="superscript"/>
        </w:rPr>
        <w:t>3</w:t>
      </w:r>
      <w:r>
        <w:rPr>
          <w:b w:val="false"/>
          <w:color w:val="000000"/>
          <w:sz w:val="20"/>
          <w:szCs w:val="20"/>
        </w:rPr>
        <w:t>, Jaroslav Piálek</w:t>
      </w:r>
      <w:r>
        <w:rPr>
          <w:b w:val="false"/>
          <w:color w:val="000000"/>
          <w:sz w:val="20"/>
          <w:szCs w:val="20"/>
          <w:vertAlign w:val="superscript"/>
        </w:rPr>
        <w:t>3</w:t>
      </w:r>
      <w:r>
        <w:rPr>
          <w:b w:val="false"/>
          <w:color w:val="000000"/>
          <w:sz w:val="20"/>
          <w:szCs w:val="20"/>
        </w:rPr>
        <w:t>, Emanuel Heitlinger</w:t>
      </w:r>
      <w:r>
        <w:rPr>
          <w:b w:val="false"/>
          <w:color w:val="000000"/>
          <w:sz w:val="20"/>
          <w:szCs w:val="20"/>
          <w:vertAlign w:val="superscript"/>
        </w:rPr>
        <w:t>1,2</w:t>
      </w:r>
    </w:p>
    <w:p>
      <w:pPr>
        <w:pStyle w:val="Normal"/>
        <w:keepNext w:val="true"/>
        <w:keepLines/>
        <w:spacing w:lineRule="auto" w:line="276"/>
        <w:rPr>
          <w:sz w:val="20"/>
          <w:szCs w:val="20"/>
        </w:rPr>
      </w:pPr>
      <w:r>
        <w:rPr>
          <w:i/>
          <w:color w:val="000000"/>
          <w:sz w:val="20"/>
          <w:szCs w:val="20"/>
          <w:vertAlign w:val="superscript"/>
        </w:rPr>
        <w:tab/>
        <w:t xml:space="preserve">1 </w:t>
      </w:r>
      <w:r>
        <w:rPr>
          <w:i/>
          <w:color w:val="000000"/>
          <w:sz w:val="20"/>
          <w:szCs w:val="20"/>
        </w:rPr>
        <w:t>Institute for Biology. Department of Molecular Parasitology. Humboldt University Berlin (HU). Philippstr. 13, Haus 14, 10115, Berlin, Germany</w:t>
      </w:r>
    </w:p>
    <w:p>
      <w:pPr>
        <w:pStyle w:val="Normal"/>
        <w:spacing w:lineRule="auto" w:line="276"/>
        <w:rPr>
          <w:sz w:val="20"/>
          <w:szCs w:val="20"/>
        </w:rPr>
      </w:pPr>
      <w:r>
        <w:rPr>
          <w:i/>
          <w:color w:val="000000"/>
          <w:sz w:val="20"/>
          <w:szCs w:val="20"/>
          <w:vertAlign w:val="superscript"/>
        </w:rPr>
        <w:tab/>
        <w:t xml:space="preserve">2 </w:t>
      </w:r>
      <w:r>
        <w:rPr>
          <w:i/>
          <w:color w:val="000000"/>
          <w:sz w:val="20"/>
          <w:szCs w:val="20"/>
        </w:rPr>
        <w:t>Leibniz-Institut für Zoo- und Wildtierforschung (IZW) im Forschungsverbund Berlin e.V.. Alfred-Kowalke-Straße 17, 10315, Berlin, Germany</w:t>
      </w:r>
    </w:p>
    <w:p>
      <w:pPr>
        <w:pStyle w:val="Normal"/>
        <w:spacing w:lineRule="auto" w:line="276"/>
        <w:rPr>
          <w:sz w:val="20"/>
          <w:szCs w:val="20"/>
        </w:rPr>
      </w:pPr>
      <w:r>
        <w:rPr>
          <w:i/>
          <w:color w:val="000000"/>
          <w:sz w:val="20"/>
          <w:szCs w:val="20"/>
          <w:vertAlign w:val="superscript"/>
        </w:rPr>
        <w:tab/>
        <w:t xml:space="preserve">3 </w:t>
      </w:r>
      <w:r>
        <w:rPr>
          <w:i/>
          <w:color w:val="000000"/>
          <w:sz w:val="20"/>
          <w:szCs w:val="20"/>
        </w:rPr>
        <w:t>Research Facility Studenec, Institute of Vertebrate Biology, Czech Academy of Sciences, Květná 8, 603 65 Brno, Czech Republic</w:t>
      </w:r>
    </w:p>
    <w:p>
      <w:pPr>
        <w:pStyle w:val="Heading1"/>
        <w:spacing w:before="0" w:after="120"/>
        <w:jc w:val="both"/>
        <w:rPr>
          <w:sz w:val="20"/>
          <w:szCs w:val="20"/>
        </w:rPr>
      </w:pPr>
      <w:r>
        <w:rPr>
          <w:sz w:val="20"/>
          <w:szCs w:val="20"/>
        </w:rPr>
      </w:r>
    </w:p>
    <w:p>
      <w:pPr>
        <w:pStyle w:val="Heading1"/>
        <w:spacing w:before="0" w:after="120"/>
        <w:jc w:val="both"/>
        <w:rPr/>
      </w:pPr>
      <w:bookmarkStart w:id="0" w:name="_600ehky6rge8"/>
      <w:bookmarkEnd w:id="0"/>
      <w:r>
        <w:rPr/>
        <w:t>Abstract</w:t>
      </w:r>
    </w:p>
    <w:p>
      <w:pPr>
        <w:pStyle w:val="Normal"/>
        <w:rPr/>
      </w:pPr>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w:t>
      </w:r>
      <w:r>
        <w:rPr/>
        <w:t xml:space="preserve">In hybrid hosts, resistance has sometimes been interpreted as having an effect on fitness without considering the modulatory effect of tolerance. </w:t>
      </w:r>
      <w:r>
        <w:rPr/>
        <w:t xml:space="preserve">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w:t>
      </w:r>
      <w:r>
        <w:rPr>
          <w:color w:val="000000"/>
        </w:rPr>
        <w:t>Re</w:t>
      </w:r>
      <w:r>
        <w:rPr>
          <w:color w:val="000000"/>
        </w:rPr>
        <w:t xml:space="preserve">sistance and tolerance  </w:t>
      </w:r>
      <w:r>
        <w:rPr>
          <w:color w:val="000000"/>
        </w:rPr>
        <w:t>have to</w:t>
      </w:r>
      <w:r>
        <w:rPr>
          <w:color w:val="000000"/>
        </w:rPr>
        <w:t xml:space="preserve"> be studied in </w:t>
      </w:r>
      <w:r>
        <w:rPr>
          <w:color w:val="000000"/>
        </w:rPr>
        <w:t>conjunction.</w:t>
      </w:r>
      <w:r>
        <w:rPr>
          <w:color w:val="000000"/>
        </w:rPr>
        <w:t xml:space="preserve"> </w:t>
      </w:r>
    </w:p>
    <w:p>
      <w:pPr>
        <w:pStyle w:val="Heading1"/>
        <w:tabs>
          <w:tab w:val="clear" w:pos="72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et al.,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et al.,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et al., 1998; Sheldon &amp; Verhulst, 1996; Vijendravarma et al.,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et al., 2005). </w:t>
      </w:r>
      <w:r>
        <w:rPr>
          <w:bCs/>
          <w:color w:val="000000"/>
        </w:rPr>
        <w:t xml:space="preserve">Tolerance balances damage caused by parasites themselves and immunopathology (Medzhitov et al., 2012) through control mechanisms like stress response, damage repair and cellular regeneration (Soares et al., 2017). This is why, just like resistance, tolerance can involve energetic costs (Simms &amp; Triplett, 1994). </w:t>
      </w:r>
      <w:r>
        <w:rPr>
          <w:bCs/>
          <w:color w:val="000000"/>
          <w:lang w:val="en-GB"/>
        </w:rPr>
        <w:t xml:space="preserve">In natural populations, costs of the two lines of defense against parasites </w:t>
      </w:r>
      <w:commentRangeStart w:id="0"/>
      <w:r>
        <w:rPr>
          <w:bCs/>
          <w:color w:val="000000"/>
          <w:highlight w:val="yellow"/>
          <w:lang w:val="en-GB"/>
        </w:rPr>
        <w:t>predict</w:t>
      </w:r>
      <w:r>
        <w:rPr>
          <w:bCs/>
          <w:color w:val="000000"/>
          <w:highlight w:val="yellow"/>
          <w:lang w:val="en-GB"/>
        </w:rPr>
      </w:r>
      <w:commentRangeEnd w:id="0"/>
      <w:r>
        <w:commentReference w:id="0"/>
      </w:r>
      <w:r>
        <w:rPr>
          <w:bCs/>
          <w:color w:val="000000"/>
          <w:lang w:val="en-GB"/>
        </w:rPr>
        <w:t xml:space="preserve"> that resistance and tolerance are negatively correlated (R</w:t>
      </w:r>
      <w:r>
        <w:rPr>
          <w:bCs/>
          <w:color w:val="000000"/>
        </w:rPr>
        <w:t>åberg, 2014; Råberg et al., 2007)</w:t>
      </w:r>
      <w:r>
        <w:rPr>
          <w:bCs/>
          <w:color w:val="000000"/>
          <w:lang w:val="en-GB"/>
        </w:rPr>
        <w:t xml:space="preserve">. They can also be found uncoupled if they are at intermediate levels </w:t>
      </w:r>
      <w:r>
        <w:rPr>
          <w:bCs/>
          <w:color w:val="000000"/>
        </w:rPr>
        <w:t>(Athanasiadou et al.,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bCs/>
          <w:color w:val="000000"/>
        </w:rPr>
      </w:pPr>
      <w:r>
        <w:rPr/>
      </w:r>
    </w:p>
    <w:p>
      <w:pPr>
        <w:pStyle w:val="Normal"/>
        <w:rPr/>
      </w:pPr>
      <w:del w:id="3" w:author="Unknown Author" w:date="2020-01-20T10:44:43Z">
        <w:r>
          <w:rPr>
            <w:rFonts w:ascii="arial" w:hAnsi="arial"/>
            <w:kern w:val="0"/>
          </w:rPr>
          <w:delText xml:space="preserve"> </w:delText>
        </w:r>
      </w:del>
      <w:r>
        <w:rPr>
          <w:rFonts w:ascii="arial" w:hAnsi="arial"/>
          <w:kern w:val="0"/>
        </w:rPr>
        <w:t>The</w:t>
      </w:r>
      <w:r>
        <w:rPr>
          <w:rFonts w:ascii="arial" w:hAnsi="arial"/>
          <w:kern w:val="0"/>
        </w:rPr>
        <w:t xml:space="preserv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xml:space="preserve">, whose genomes diverged some 0.5 mil ago, </w:t>
      </w:r>
      <w:r>
        <w:rPr>
          <w:rFonts w:ascii="arial" w:hAnsi="arial"/>
          <w:kern w:val="0"/>
        </w:rPr>
        <w:t xml:space="preserve">hybridize in a secondary contact zone </w:t>
      </w:r>
      <w:ins w:id="4" w:author="Unknown Author" w:date="2020-01-20T10:45:06Z">
        <w:r>
          <w:rPr>
            <w:rFonts w:ascii="arial" w:hAnsi="arial"/>
            <w:kern w:val="0"/>
          </w:rPr>
          <w:t xml:space="preserve">running </w:t>
        </w:r>
      </w:ins>
      <w:del w:id="5" w:author="Unknown Author" w:date="2020-01-20T10:44:53Z">
        <w:r>
          <w:rPr>
            <w:rFonts w:ascii="arial" w:hAnsi="arial"/>
            <w:kern w:val="0"/>
          </w:rPr>
          <w:delText>in</w:delText>
        </w:r>
      </w:del>
      <w:ins w:id="6" w:author="Unknown Author" w:date="2020-01-20T10:44:53Z">
        <w:r>
          <w:rPr>
            <w:rFonts w:ascii="arial" w:hAnsi="arial"/>
            <w:kern w:val="0"/>
          </w:rPr>
          <w:t>through</w:t>
        </w:r>
      </w:ins>
      <w:r>
        <w:rPr>
          <w:rFonts w:ascii="arial" w:hAnsi="arial"/>
          <w:kern w:val="0"/>
        </w:rPr>
        <w:t xml:space="preserve"> Europe (Barton etc.. Macholan). </w:t>
      </w:r>
      <w:commentRangeStart w:id="1"/>
      <w:r>
        <w:rPr>
          <w:bCs/>
          <w:color w:val="000000"/>
          <w:lang w:val="en-GB"/>
        </w:rPr>
        <w:t>Hybrids</w:t>
      </w:r>
      <w:r>
        <w:rPr>
          <w:bCs/>
          <w:color w:val="000000"/>
          <w:lang w:val="en-GB"/>
        </w:rPr>
      </w:r>
      <w:commentRangeEnd w:id="1"/>
      <w:r>
        <w:commentReference w:id="1"/>
      </w:r>
      <w:r>
        <w:rPr>
          <w:bCs/>
          <w:color w:val="000000"/>
          <w:lang w:val="en-GB"/>
        </w:rPr>
        <w:t xml:space="preserve">  show elevated resistance to parasites compared to both parental subspecies (Baird et al., 2012; Balard et al., 2019)</w:t>
      </w:r>
      <w:r>
        <w:rPr>
          <w:rFonts w:ascii="arial" w:hAnsi="arial"/>
          <w:bCs/>
          <w:color w:val="000000"/>
          <w:lang w:val="en-GB"/>
        </w:rPr>
        <w:t xml:space="preserve">. </w:t>
      </w:r>
      <w:r>
        <w:rPr>
          <w:rFonts w:ascii="arial" w:hAnsi="arial"/>
          <w:bCs/>
          <w:color w:val="000000"/>
          <w:lang w:val="en-GB"/>
        </w:rPr>
        <w:t>N</w:t>
      </w:r>
      <w:r>
        <w:rPr>
          <w:rFonts w:ascii="arial" w:hAnsi="arial"/>
          <w:bCs/>
          <w:color w:val="000000"/>
          <w:kern w:val="0"/>
          <w:lang w:val="en-GB"/>
        </w:rPr>
        <w:t xml:space="preserve">ewly generated </w:t>
      </w:r>
      <w:r>
        <w:rPr>
          <w:rFonts w:ascii="arial" w:hAnsi="arial"/>
          <w:bCs/>
          <w:color w:val="000000"/>
          <w:kern w:val="0"/>
          <w:lang w:val="en-GB"/>
        </w:rPr>
        <w:t>diversity</w:t>
      </w:r>
      <w:r>
        <w:rPr>
          <w:rFonts w:ascii="arial" w:hAnsi="arial"/>
          <w:bCs/>
          <w:color w:val="000000"/>
          <w:kern w:val="0"/>
          <w:lang w:val="en-GB"/>
        </w:rPr>
        <w:t xml:space="preserve"> </w:t>
      </w:r>
      <w:r>
        <w:rPr>
          <w:rFonts w:ascii="arial" w:hAnsi="arial"/>
          <w:bCs/>
          <w:color w:val="000000"/>
          <w:kern w:val="0"/>
          <w:lang w:val="en-GB"/>
        </w:rPr>
        <w:t>in</w:t>
      </w:r>
      <w:del w:id="7" w:author="Unknown Author" w:date="2020-01-20T10:45:46Z">
        <w:r>
          <w:rPr>
            <w:rFonts w:ascii="arial" w:hAnsi="arial"/>
            <w:bCs/>
            <w:color w:val="000000"/>
            <w:kern w:val="0"/>
            <w:lang w:val="en-GB"/>
          </w:rPr>
          <w:delText xml:space="preserve"> </w:delText>
        </w:r>
      </w:del>
      <w:r>
        <w:rPr>
          <w:rFonts w:ascii="arial" w:hAnsi="arial"/>
          <w:bCs/>
          <w:color w:val="000000"/>
          <w:kern w:val="0"/>
          <w:lang w:val="en-GB"/>
        </w:rPr>
        <w:t xml:space="preserve"> the immune system</w:t>
      </w:r>
      <w:r>
        <w:rPr>
          <w:rFonts w:ascii="arial" w:hAnsi="arial"/>
          <w:bCs/>
          <w:color w:val="000000"/>
          <w:kern w:val="0"/>
          <w:lang w:val="en-GB"/>
        </w:rPr>
        <w:t xml:space="preserve"> can result in novel interplay in immunological response; </w:t>
      </w:r>
      <w:r>
        <w:rPr>
          <w:rFonts w:ascii="arial" w:hAnsi="arial"/>
          <w:bCs/>
          <w:color w:val="000000"/>
          <w:kern w:val="0"/>
          <w:lang w:val="en-GB"/>
        </w:rPr>
        <w:t>i</w:t>
      </w:r>
      <w:r>
        <w:rPr>
          <w:bCs/>
          <w:color w:val="000000"/>
          <w:lang w:val="en-GB"/>
        </w:rPr>
        <w:t xml:space="preserve">nterpretations of these results in terms of health or even fitness effects, </w:t>
      </w:r>
      <w:r>
        <w:rPr>
          <w:bCs/>
          <w:color w:val="000000"/>
          <w:lang w:val="en-GB"/>
        </w:rPr>
        <w:t>however,</w:t>
      </w:r>
      <w:r>
        <w:rPr>
          <w:bCs/>
          <w:color w:val="000000"/>
          <w:lang w:val="en-GB"/>
        </w:rPr>
        <w:t xml:space="preserve"> have been attempted (Sage et al., 1986) and criticised (Baird &amp; Go</w:t>
      </w:r>
      <w:r>
        <w:rPr/>
        <w:t>üy de Bellocq, 2019)</w:t>
      </w:r>
      <w:r>
        <w:rPr>
          <w:bCs/>
          <w:color w:val="000000"/>
          <w:lang w:val="en-GB"/>
        </w:rPr>
        <w:t xml:space="preserve">. </w:t>
      </w:r>
    </w:p>
    <w:p>
      <w:pPr>
        <w:pStyle w:val="Normal"/>
        <w:rPr/>
      </w:pPr>
      <w:r>
        <w:rPr>
          <w:color w:val="000000"/>
        </w:rPr>
        <w:t xml:space="preserve"> </w:t>
      </w:r>
    </w:p>
    <w:p>
      <w:pPr>
        <w:pStyle w:val="Normal"/>
        <w:rPr>
          <w:color w:val="000000"/>
        </w:rPr>
      </w:pPr>
      <w:r>
        <w:rPr>
          <w:i/>
          <w:iCs/>
          <w:color w:val="000000"/>
        </w:rPr>
        <w:t xml:space="preserve">Eimeria ferrisi </w:t>
      </w:r>
      <w:r>
        <w:rPr>
          <w:color w:val="000000"/>
        </w:rPr>
        <w:t xml:space="preserve">has been found to </w:t>
      </w:r>
      <w:commentRangeStart w:id="2"/>
      <w:r>
        <w:rPr>
          <w:color w:val="000000"/>
        </w:rPr>
        <w:t xml:space="preserve">be the most prevalent </w:t>
      </w:r>
      <w:r>
        <w:rPr>
          <w:color w:val="000000"/>
        </w:rPr>
      </w:r>
      <w:commentRangeEnd w:id="2"/>
      <w:r>
        <w:commentReference w:id="2"/>
      </w:r>
      <w:r>
        <w:rPr>
          <w:color w:val="000000"/>
        </w:rPr>
        <w:t xml:space="preserve">(17%) protozoan parasite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w:t>
      </w:r>
      <w:commentRangeStart w:id="3"/>
      <w:r>
        <w:rPr>
          <w:color w:val="000000"/>
        </w:rPr>
        <w:t>villar</w:t>
      </w:r>
      <w:r>
        <w:rPr>
          <w:color w:val="000000"/>
        </w:rPr>
      </w:r>
      <w:commentRangeEnd w:id="3"/>
      <w:r>
        <w:commentReference w:id="3"/>
      </w:r>
      <w:r>
        <w:rPr>
          <w:color w:val="000000"/>
        </w:rPr>
        <w:t xml:space="preserve"> epithelial cells and cecum crypt cells, respectively (Schito et al.,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et al., 1975; Ehret et al.,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w:t>
      </w:r>
      <w:ins w:id="8" w:author="Unknown Author" w:date="2020-01-20T10:46:17Z">
        <w:r>
          <w:rPr>
            <w:color w:val="000000"/>
          </w:rPr>
          <w:t xml:space="preserve"> </w:t>
        </w:r>
      </w:ins>
      <w:ins w:id="9" w:author="Unknown Author" w:date="2020-01-20T10:46:17Z">
        <w:r>
          <w:rPr>
            <w:color w:val="000000"/>
          </w:rPr>
          <w:t xml:space="preserve">The evolutionary history of </w:t>
        </w:r>
      </w:ins>
      <w:ins w:id="10" w:author="Unknown Author" w:date="2020-01-20T10:46:17Z">
        <w:r>
          <w:rPr>
            <w:rFonts w:eastAsia="SimSun" w:cs="Mangal"/>
            <w:color w:val="000000"/>
            <w:kern w:val="2"/>
            <w:sz w:val="24"/>
            <w:szCs w:val="24"/>
            <w:lang w:val="en-US" w:eastAsia="zh-CN" w:bidi="hi-IN"/>
          </w:rPr>
          <w:t>these</w:t>
        </w:r>
      </w:ins>
      <w:ins w:id="11" w:author="Unknown Author" w:date="2020-01-20T10:46:17Z">
        <w:r>
          <w:rPr>
            <w:color w:val="000000"/>
          </w:rPr>
          <w:t xml:space="preserve"> different </w:t>
        </w:r>
      </w:ins>
      <w:ins w:id="12" w:author="Unknown Author" w:date="2020-01-20T10:46:17Z">
        <w:r>
          <w:rPr>
            <w:i/>
            <w:iCs/>
            <w:color w:val="000000"/>
          </w:rPr>
          <w:t>Eimeria</w:t>
        </w:r>
      </w:ins>
      <w:ins w:id="13" w:author="Unknown Author" w:date="2020-01-20T10:46:17Z">
        <w:r>
          <w:rPr>
            <w:color w:val="000000"/>
          </w:rPr>
          <w:t xml:space="preserve"> species in the two house mouse subspecies is unknown and is unclear whether subspecies-specific adaptation exists in one or the other. </w:t>
        </w:r>
      </w:ins>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oocyst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et al.,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7.5 and 21.5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et al.,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As a proxy we used the number of parasites</w:t>
      </w:r>
      <w:commentRangeStart w:id="4"/>
      <w:r>
        <w:rPr>
          <w:color w:val="000000"/>
        </w:rPr>
        <w:t xml:space="preserve"> per host, calculated as the </w:t>
      </w:r>
      <w:r>
        <w:rPr/>
        <w:t xml:space="preserve">number </w:t>
      </w:r>
      <w:r>
        <w:rPr>
          <w:color w:val="000000"/>
        </w:rPr>
        <w:t>of oocysts in feces at the day of maximal shedding</w:t>
      </w:r>
      <w:r>
        <w:rPr/>
        <w:t>, divided by the mouse</w:t>
      </w:r>
      <w:r>
        <w:rPr>
          <w:color w:val="000000"/>
        </w:rPr>
        <w:t xml:space="preserve"> weight at</w:t>
      </w:r>
      <w:r>
        <w:rPr/>
        <w:t xml:space="preserve"> this day </w:t>
      </w:r>
      <w:r>
        <w:rPr>
          <w:color w:val="000000"/>
        </w:rPr>
        <w:t>(in grams)</w:t>
      </w:r>
      <w:r>
        <w:rPr>
          <w:color w:val="000000"/>
        </w:rPr>
      </w:r>
      <w:commentRangeEnd w:id="4"/>
      <w:r>
        <w:commentReference w:id="4"/>
      </w:r>
      <w:r>
        <w:rPr>
          <w:color w:val="000000"/>
        </w:rPr>
        <w:t>. This measurement allowed us to take into account the host</w:t>
      </w:r>
      <w:r>
        <w:rPr>
          <w:color w:val="000000"/>
          <w:lang w:val="en-GB"/>
        </w:rPr>
        <w:t>’s</w:t>
      </w:r>
      <w:r>
        <w:rPr>
          <w:color w:val="000000"/>
        </w:rPr>
        <w:t xml:space="preserve"> body size, assuming a lower capacity to carry parasites in smaller mice: a higher number of oocysts per mouse weight corresponds to lower resistance. At the day of peak intensity, this measure was tightly correlated with the sum of oocysts shed throughout the experiment </w:t>
      </w:r>
      <w:commentRangeStart w:id="5"/>
      <w:r>
        <w:rPr>
          <w:color w:val="000000"/>
        </w:rPr>
        <w:t>(Pearson correlation coefficient 0.92)</w:t>
      </w:r>
      <w:r>
        <w:rPr>
          <w:color w:val="000000"/>
        </w:rPr>
      </w:r>
      <w:commentRangeEnd w:id="5"/>
      <w:r>
        <w:commentReference w:id="5"/>
      </w:r>
      <w:r>
        <w:rPr>
          <w:color w:val="000000"/>
        </w:rPr>
        <w:t xml:space="preserve">. </w:t>
      </w:r>
      <w:del w:id="14" w:author="Unknown Author" w:date="2020-01-17T17:26:34Z">
        <w:r>
          <w:rPr>
            <w:color w:val="000000"/>
          </w:rPr>
          <w:delText xml:space="preserve">For further statistical analyses we modelled the raw value of “maximum number of oocysts per mouse gram”; For plotting and comparison with tolerance index, we used a resistance index ranging between 0 and 1 </w:delText>
        </w:r>
      </w:del>
      <w:r>
        <w:rPr/>
        <w:commentReference w:id="6"/>
      </w:r>
      <w:del w:id="15" w:author="Unknown Author" w:date="2020-01-17T17:26:34Z">
        <w:r>
          <w:rPr/>
          <w:delText xml:space="preserve">(see </w:delText>
        </w:r>
      </w:del>
      <w:del w:id="16" w:author="Unknown Author" w:date="2020-01-17T17:26:34Z">
        <w:r>
          <w:rPr>
            <w:b/>
          </w:rPr>
          <w:delText>Supplementary Figure S1.A</w:delText>
        </w:r>
      </w:del>
      <w:del w:id="17" w:author="Unknown Author" w:date="2020-01-17T17:26:34Z">
        <w:r>
          <w:rPr/>
          <w:delText>). As the highest individual value w</w:delText>
        </w:r>
      </w:del>
      <w:del w:id="18" w:author="Unknown Author" w:date="2020-01-17T17:26:34Z">
        <w:bookmarkStart w:id="6" w:name="rstudio_console_output211111111111111111"/>
        <w:bookmarkEnd w:id="6"/>
        <w:r>
          <w:rPr/>
          <w:delText>as 298496 maximum number of oocysts per mouse gram, this index was obtained as follows:</w:delText>
        </w:r>
      </w:del>
    </w:p>
    <w:p>
      <w:pPr>
        <w:pStyle w:val="Normal"/>
        <w:ind w:left="720" w:hanging="0"/>
        <w:rPr>
          <w:rFonts w:ascii="Century Schoolbook" w:hAnsi="Century Schoolbook" w:eastAsia="Century Schoolbook" w:cs="Century Schoolbook"/>
          <w:i/>
          <w:i/>
        </w:rPr>
      </w:pPr>
      <w:del w:id="19" w:author="Unknown Author" w:date="2020-01-17T17:26:34Z">
        <w:r>
          <w:rPr>
            <w:rFonts w:eastAsia="Century Schoolbook" w:cs="Century Schoolbook" w:ascii="Century Schoolbook" w:hAnsi="Century Schoolbook"/>
            <w:i/>
          </w:rPr>
          <w:delText>Resistance index = (- maximum number of oocysts per mouse gram + 300000) / 300000</w:delText>
        </w:r>
      </w:del>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TextBody"/>
        <w:spacing w:lineRule="auto" w:line="480"/>
        <w:rPr/>
      </w:pPr>
      <w:r>
        <w:rPr/>
        <w:t xml:space="preserve">We defined a tolerance index for each individual, describing how its health varied with infection intensity, between day 0 of infection (weight = 100%, parasite intensity = 0 oocyst per mouse gram) and highest impact (weight = maximum weight loss relative to day 0, parasite intensity = maximum parasite number per </w:t>
      </w:r>
      <w:del w:id="20" w:author="Unknown Author" w:date="2020-01-17T17:26:52Z">
        <w:r>
          <w:rPr/>
          <w:delText xml:space="preserve">mouse </w:delText>
        </w:r>
      </w:del>
      <w:r>
        <w:rPr/>
        <w:t>gram</w:t>
      </w:r>
      <w:ins w:id="21" w:author="Unknown Author" w:date="2020-01-17T17:26:54Z">
        <w:r>
          <w:rPr/>
          <w:t xml:space="preserve"> of feces</w:t>
        </w:r>
      </w:ins>
      <w:r>
        <w:rPr/>
        <w:t>). This index was then normalised by log10 transformation, after ad</w:t>
      </w:r>
      <w:commentRangeStart w:id="7"/>
      <w:r>
        <w:rPr/>
        <w:t>dition of 1e-8 to the ratio ”</w:t>
      </w:r>
      <w:r>
        <w:rPr>
          <w:rFonts w:eastAsia="Century Schoolbook" w:cs="Century Schoolbook"/>
        </w:rPr>
        <w:t xml:space="preserve">maximum relative weight loss / maximum number of oocysts per mouse gram“ </w:t>
      </w:r>
      <w:r>
        <w:rPr/>
        <w:t xml:space="preserve">to avoid infinite values. The obtained log10 transformed ratio that ranged between </w:t>
      </w:r>
      <w:bookmarkStart w:id="7" w:name="rstudio_console_output1"/>
      <w:bookmarkEnd w:id="7"/>
      <w:r>
        <w:rPr/>
        <w:t>-8 (high tolerant) and -3.6 (low tolerant) was divided by the negative constant -8 to obtained a final index positiv</w:t>
      </w:r>
      <w:r>
        <w:rPr/>
      </w:r>
      <w:commentRangeEnd w:id="7"/>
      <w:r>
        <w:commentReference w:id="7"/>
      </w:r>
      <w:r>
        <w:rPr/>
        <w:t xml:space="preserve">ely correlated with tolerance, and ranging between 0 and 1 (see </w:t>
      </w:r>
      <w:r>
        <w:rPr>
          <w:b/>
        </w:rPr>
        <w:t>Supplementary Figure S1.B</w:t>
      </w:r>
      <w:r>
        <w:rPr/>
        <w:t>):</w:t>
      </w:r>
    </w:p>
    <w:p>
      <w:pPr>
        <w:pStyle w:val="Normal"/>
        <w:ind w:left="720" w:hanging="0"/>
        <w:rPr>
          <w:rFonts w:ascii="Century Schoolbook" w:hAnsi="Century Schoolbook" w:eastAsia="Century Schoolbook" w:cs="Century Schoolbook"/>
          <w:i/>
          <w:i/>
        </w:rPr>
      </w:pPr>
      <w:r>
        <w:rPr>
          <w:rFonts w:eastAsia="Century Schoolbook" w:cs="Century Schoolbook" w:ascii="Century Schoolbook" w:hAnsi="Century Schoolbook"/>
          <w:i/>
        </w:rPr>
        <w:t>Tolerance index = (log10(maximum relative weight loss / maximum number of oocysts per mouse gram + 1e-8) / -8</w:t>
      </w:r>
    </w:p>
    <w:p>
      <w:pPr>
        <w:pStyle w:val="Heading2"/>
        <w:jc w:val="both"/>
        <w:rPr>
          <w:sz w:val="24"/>
        </w:rPr>
      </w:pPr>
      <w:bookmarkStart w:id="8" w:name="_mpf3d7k8xfch"/>
      <w:bookmarkEnd w:id="8"/>
      <w:r>
        <w:rPr>
          <w:sz w:val="24"/>
        </w:rPr>
        <w:t>Statistical analyses</w:t>
      </w:r>
    </w:p>
    <w:p>
      <w:pPr>
        <w:pStyle w:val="Normal"/>
        <w:rPr/>
      </w:pPr>
      <w:r>
        <w:rPr>
          <w:color w:val="000000"/>
        </w:rPr>
        <w:t xml:space="preserve">Appropriate distribution for </w:t>
      </w:r>
      <w:r>
        <w:rPr>
          <w:rFonts w:eastAsia="Century Schoolbook" w:cs="Century Schoolbook"/>
          <w:color w:val="000000"/>
        </w:rPr>
        <w:t>maximum number of oocysts per m</w:t>
      </w:r>
      <w:r>
        <w:rPr>
          <w:rFonts w:eastAsia="Century Schoolbook" w:cs="Century Schoolbook"/>
        </w:rPr>
        <w:t>ouse gram</w:t>
      </w:r>
      <w:r>
        <w:rPr>
          <w:color w:val="000000"/>
        </w:rPr>
        <w:t>, maximum weight loss relative to day 0, and tolerance index were 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The negative binomial, Weibull, and normal distribution were the most adequate to describe the </w:t>
      </w:r>
      <w:r>
        <w:rPr/>
        <w:t xml:space="preserve">peak of oocysts per </w:t>
      </w:r>
      <w:del w:id="22" w:author="Unknown Author" w:date="2020-01-17T17:27:14Z">
        <w:r>
          <w:rPr/>
          <w:delText xml:space="preserve">mouse </w:delText>
        </w:r>
      </w:del>
      <w:r>
        <w:rPr/>
        <w:t>gram</w:t>
      </w:r>
      <w:ins w:id="23" w:author="Unknown Author" w:date="2020-01-17T17:27:15Z">
        <w:r>
          <w:rPr/>
          <w:t xml:space="preserve"> of feces</w:t>
        </w:r>
      </w:ins>
      <w:r>
        <w:rPr>
          <w:color w:val="000000"/>
        </w:rPr>
        <w:t xml:space="preserve">, impact on host health, and </w:t>
      </w:r>
      <w:r>
        <w:rPr/>
        <w:t>t</w:t>
      </w:r>
      <w:r>
        <w:rPr>
          <w:color w:val="000000"/>
        </w:rPr>
        <w:t>olerance index, respectively (s</w:t>
      </w:r>
      <w:r>
        <w:rPr/>
        <w:t xml:space="preserve">ee </w:t>
      </w:r>
      <w:r>
        <w:rPr>
          <w:b/>
        </w:rPr>
        <w:t>Supplementary Figure S2</w:t>
      </w:r>
      <w:r>
        <w:rPr/>
        <w:t>).</w:t>
      </w:r>
      <w:r>
        <w:rPr>
          <w:color w:val="000000"/>
        </w:rPr>
        <w:t xml:space="preserve"> For modelling the impact on host health, we added 0.01 to the raw value as the Weibull distribution regression requires positive values.</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three response variables using (generalised) linear models. To assess the stability of our results across mouse strains and </w:t>
      </w:r>
      <w:r>
        <w:rPr>
          <w:i/>
          <w:color w:val="000000"/>
        </w:rPr>
        <w:t xml:space="preserve">Eimeria </w:t>
      </w:r>
      <w:r>
        <w:rPr>
          <w:color w:val="000000"/>
        </w:rPr>
        <w:t xml:space="preserve">isolates,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pPr>
      <w:r>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rPr>
        <w:t xml:space="preserve">Eimeria </w:t>
      </w:r>
      <w:r>
        <w:rPr/>
        <w:t>species and  their interaction.</w:t>
      </w:r>
    </w:p>
    <w:p>
      <w:pPr>
        <w:pStyle w:val="Normal"/>
        <w:rPr>
          <w:highlight w:val="yellow"/>
        </w:rPr>
      </w:pPr>
      <w:r>
        <w:rPr>
          <w:color w:val="000000"/>
          <w:lang w:val="en-GB"/>
        </w:rPr>
        <w:t xml:space="preserve">To verify the absence of impact of both previous contamination by </w:t>
      </w:r>
      <w:r>
        <w:rPr>
          <w:i/>
          <w:iCs/>
          <w:color w:val="000000"/>
          <w:lang w:val="en-GB"/>
        </w:rPr>
        <w:t xml:space="preserve">Eimeria </w:t>
      </w:r>
      <w:r>
        <w:rPr>
          <w:color w:val="000000"/>
          <w:lang w:val="en-GB"/>
        </w:rPr>
        <w:t>and anthelminthic treatment on our results, we performed different analyses (modeling of resistance, impact on health, tolerance at the host subspecies/parasite species level, as well as linear regression of the tolerance index with the resistance index, see below) on a dataset excluding the 22 mice treated by anthelminthics and the 9 mice showing contaminant infections. The results obtained in this conservative dataset are congruent with the results revealed in all mice, thus we consid</w:t>
      </w:r>
      <w:r>
        <w:rPr>
          <w:lang w:val="en-GB"/>
        </w:rPr>
        <w:t xml:space="preserve">er the influence of both factors negligible (see </w:t>
      </w:r>
      <w:r>
        <w:rPr>
          <w:b/>
          <w:lang w:val="en-GB"/>
        </w:rPr>
        <w:t>Supplementary Material S3</w:t>
      </w:r>
      <w:r>
        <w:rPr>
          <w:lang w:val="en-GB"/>
        </w:rPr>
        <w:t>).</w:t>
      </w:r>
    </w:p>
    <w:p>
      <w:pPr>
        <w:pStyle w:val="Normal"/>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9" w:name="_2s8eyo1"/>
      <w:bookmarkEnd w:id="9"/>
      <w:r>
        <w:rPr/>
        <w:t>Results</w:t>
      </w:r>
    </w:p>
    <w:p>
      <w:pPr>
        <w:pStyle w:val="Heading2"/>
        <w:jc w:val="both"/>
        <w:rPr/>
      </w:pPr>
      <w:bookmarkStart w:id="10" w:name="_17dp8vu"/>
      <w:bookmarkEnd w:id="10"/>
      <w:r>
        <w:rPr/>
        <w:t>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sd=0.71 and 0.65, respectively). The median day of maximum weight loss was 5 dpi for both isolates (sd=2.2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i/>
        </w:rPr>
        <w:t>M.</w:t>
      </w:r>
      <w:r>
        <w:rPr>
          <w:i/>
          <w:color w:val="000000"/>
          <w:sz w:val="24"/>
          <w:szCs w:val="24"/>
        </w:rPr>
        <w:t> </w:t>
      </w:r>
      <w:r>
        <w:rPr>
          <w:i/>
        </w:rPr>
        <w:t>m.</w:t>
      </w:r>
      <w:r>
        <w:rPr>
          <w:i/>
          <w:color w:val="000000"/>
          <w:sz w:val="24"/>
          <w:szCs w:val="24"/>
        </w:rPr>
        <w:t> </w:t>
      </w:r>
      <w:r>
        <w:rPr>
          <w:i/>
        </w:rPr>
        <w:t>musculus</w:t>
      </w:r>
      <w:r>
        <w:rPr/>
        <w:t xml:space="preserve"> is more resistant to </w:t>
      </w:r>
      <w:r>
        <w:rPr>
          <w:i/>
        </w:rPr>
        <w:t>E.</w:t>
      </w:r>
      <w:r>
        <w:rPr>
          <w:i/>
          <w:color w:val="000000"/>
          <w:sz w:val="24"/>
          <w:szCs w:val="24"/>
        </w:rPr>
        <w:t> </w:t>
      </w:r>
      <w:r>
        <w:rPr>
          <w:i/>
        </w:rPr>
        <w:t>falciformis</w:t>
      </w:r>
      <w:r>
        <w:rPr/>
        <w:t xml:space="preserve"> than to </w:t>
      </w:r>
      <w:r>
        <w:rPr>
          <w:i/>
        </w:rPr>
        <w:t>E.</w:t>
      </w:r>
      <w:r>
        <w:rPr>
          <w:i/>
          <w:color w:val="000000"/>
          <w:sz w:val="24"/>
          <w:szCs w:val="24"/>
        </w:rPr>
        <w:t> </w:t>
      </w:r>
      <w:r>
        <w:rPr>
          <w:i/>
        </w:rPr>
        <w:t>ferrisi</w:t>
      </w:r>
    </w:p>
    <w:p>
      <w:pPr>
        <w:pStyle w:val="Normal"/>
        <w:rPr/>
      </w:pPr>
      <w:r>
        <w:rPr>
          <w:color w:val="000000"/>
        </w:rPr>
        <w:t xml:space="preserve">To establish differences between the two house mouse subspecies and between the parasite species, we analysed the </w:t>
      </w:r>
      <w:r>
        <w:rPr/>
        <w:t xml:space="preserve">maximum number of oocysts per mouse gram </w:t>
      </w:r>
      <w:r>
        <w:rPr>
          <w:color w:val="000000"/>
        </w:rPr>
        <w:t xml:space="preserve">as a measure of resistance after infection with both </w:t>
      </w:r>
      <w:r>
        <w:rPr>
          <w:i/>
          <w:color w:val="000000"/>
        </w:rPr>
        <w:t xml:space="preserve">Eimeria </w:t>
      </w:r>
      <w:r>
        <w:rPr>
          <w:color w:val="000000"/>
        </w:rPr>
        <w:t xml:space="preserve">species on the 99 mice alive by the time of median peak shedding. We found statistically </w:t>
      </w:r>
    </w:p>
    <w:p>
      <w:pPr>
        <w:pStyle w:val="PreformattedText"/>
        <w:rPr>
          <w:rFonts w:ascii="DejaVu Sans Mono;monospace" w:hAnsi="DejaVu Sans Mono;monospace"/>
          <w:b w:val="false"/>
          <w:b w:val="false"/>
          <w:i w:val="false"/>
          <w:i w:val="false"/>
          <w:caps w:val="false"/>
          <w:smallCaps w:val="false"/>
          <w:color w:val="E6E1DC"/>
          <w:spacing w:val="0"/>
          <w:sz w:val="20"/>
        </w:rPr>
      </w:pPr>
      <w:ins w:id="24" w:author="Unknown Author" w:date="2020-01-17T17:28:47Z">
        <w:bookmarkStart w:id="11" w:name="rstudio_console_output"/>
        <w:bookmarkEnd w:id="11"/>
        <w:r>
          <w:rPr>
            <w:rFonts w:ascii="DejaVu Sans Mono;monospace" w:hAnsi="DejaVu Sans Mono;monospace"/>
            <w:b w:val="false"/>
            <w:i w:val="false"/>
            <w:caps w:val="false"/>
            <w:smallCaps w:val="false"/>
            <w:color w:val="000000"/>
            <w:spacing w:val="0"/>
            <w:sz w:val="20"/>
          </w:rPr>
          <w:t>"significance of parasite:"</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5" w:author="Unknown Author" w:date="2020-01-17T17:28:47Z">
        <w:r>
          <w:rPr>
            <w:rFonts w:ascii="DejaVu Sans Mono;monospace" w:hAnsi="DejaVu Sans Mono;monospace"/>
            <w:b w:val="false"/>
            <w:i w:val="false"/>
            <w:caps w:val="false"/>
            <w:smallCaps w:val="false"/>
            <w:color w:val="E6E1DC"/>
            <w:spacing w:val="0"/>
            <w:sz w:val="20"/>
          </w:rPr>
          <w:t>[1] "G=22.9 ,df=2 ,p=1e-05"</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6" w:author="Unknown Author" w:date="2020-01-17T17:28:47Z">
        <w:r>
          <w:rPr>
            <w:rFonts w:ascii="DejaVu Sans Mono;monospace" w:hAnsi="DejaVu Sans Mono;monospace"/>
            <w:b w:val="false"/>
            <w:i w:val="false"/>
            <w:caps w:val="false"/>
            <w:smallCaps w:val="false"/>
            <w:color w:val="E6E1DC"/>
            <w:spacing w:val="0"/>
            <w:sz w:val="20"/>
          </w:rPr>
          <w:t>[1] "significance of mouse:"</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7" w:author="Unknown Author" w:date="2020-01-17T17:28:47Z">
        <w:r>
          <w:rPr>
            <w:rFonts w:ascii="DejaVu Sans Mono;monospace" w:hAnsi="DejaVu Sans Mono;monospace"/>
            <w:b w:val="false"/>
            <w:i w:val="false"/>
            <w:caps w:val="false"/>
            <w:smallCaps w:val="false"/>
            <w:color w:val="E6E1DC"/>
            <w:spacing w:val="0"/>
            <w:sz w:val="20"/>
          </w:rPr>
          <w:t>[1] "G=21 ,df=2 ,p=2.8e-05"</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8" w:author="Unknown Author" w:date="2020-01-17T17:28:47Z">
        <w:r>
          <w:rPr>
            <w:rFonts w:ascii="DejaVu Sans Mono;monospace" w:hAnsi="DejaVu Sans Mono;monospace"/>
            <w:b w:val="false"/>
            <w:i w:val="false"/>
            <w:caps w:val="false"/>
            <w:smallCaps w:val="false"/>
            <w:color w:val="E6E1DC"/>
            <w:spacing w:val="0"/>
            <w:sz w:val="20"/>
          </w:rPr>
          <w:t>[1] "significance of interaction:"</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9" w:author="Unknown Author" w:date="2020-01-17T17:28:47Z">
        <w:r>
          <w:rPr>
            <w:rFonts w:ascii="DejaVu Sans Mono;monospace" w:hAnsi="DejaVu Sans Mono;monospace"/>
            <w:b w:val="false"/>
            <w:i w:val="false"/>
            <w:caps w:val="false"/>
            <w:smallCaps w:val="false"/>
            <w:color w:val="E6E1DC"/>
            <w:spacing w:val="0"/>
            <w:sz w:val="20"/>
          </w:rPr>
          <w:t>[1] "G=14.9 ,df=1 ,p=0.000111"</w:t>
        </w:r>
      </w:ins>
    </w:p>
    <w:p>
      <w:pPr>
        <w:pStyle w:val="Normal"/>
        <w:rPr>
          <w:color w:val="000000"/>
        </w:rPr>
      </w:pPr>
      <w:r>
        <w:rPr>
          <w:color w:val="000000"/>
        </w:rPr>
      </w:r>
    </w:p>
    <w:p>
      <w:pPr>
        <w:pStyle w:val="Normal"/>
        <w:rPr/>
      </w:pPr>
      <w:r>
        <w:rPr>
          <w:color w:val="000000"/>
        </w:rPr>
        <w:t xml:space="preserve">significant effects of parasite species (LRT: G = 22.8, df = 2, P &lt; 0.001), mouse subspecies (LRT: G = 26.7, df = 2, P &lt; 0.001) as well as an interaction between parasite species and mouse subspecies (LRT: G = 22.4, df = 2, P &lt; 0.001). </w:t>
      </w:r>
      <w:commentRangeStart w:id="8"/>
      <w:r>
        <w:rPr>
          <w:color w:val="000000"/>
        </w:rPr>
        <w:t xml:space="preserve">Post-hoc multiple comparison tests showed than the subspecies Mmm shed less oocysts per mouse gram at the peak of shedding when infected with </w:t>
      </w:r>
      <w:r>
        <w:rPr>
          <w:i/>
          <w:color w:val="000000"/>
        </w:rPr>
        <w:t>E. falciformis</w:t>
      </w:r>
      <w:r>
        <w:rPr>
          <w:color w:val="000000"/>
        </w:rPr>
        <w:t xml:space="preserve"> than with </w:t>
      </w:r>
      <w:r>
        <w:rPr>
          <w:i/>
          <w:color w:val="000000"/>
        </w:rPr>
        <w:t>E. ferrisi</w:t>
      </w:r>
      <w:r>
        <w:rPr>
          <w:color w:val="000000"/>
        </w:rPr>
        <w:t>.</w:t>
      </w:r>
      <w:r>
        <w:rPr>
          <w:color w:val="000000"/>
        </w:rPr>
      </w:r>
      <w:commentRangeEnd w:id="8"/>
      <w:r>
        <w:commentReference w:id="8"/>
      </w:r>
      <w:r>
        <w:rPr>
          <w:color w:val="000000"/>
        </w:rPr>
        <w:t xml:space="preserve"> </w:t>
      </w:r>
      <w:commentRangeStart w:id="9"/>
      <w:r>
        <w:rPr>
          <w:color w:val="000000"/>
        </w:rPr>
        <w:t xml:space="preserve">Moreover, the Mmm subspecies shed less oocysts per mouse gram at the peak of shedding than the Mmd subspecies when infected </w:t>
      </w:r>
      <w:r>
        <w:rPr>
          <w:i/>
          <w:color w:val="000000"/>
        </w:rPr>
        <w:t>E. falciformis</w:t>
      </w:r>
      <w:r>
        <w:rPr>
          <w:color w:val="000000"/>
        </w:rPr>
        <w:t xml:space="preserve">, and more than the Mmd subspecies when infected with </w:t>
      </w:r>
      <w:r>
        <w:rPr>
          <w:i/>
          <w:color w:val="000000"/>
        </w:rPr>
        <w:t>E. ferrisi</w:t>
      </w:r>
      <w:r>
        <w:rPr>
          <w:i/>
          <w:color w:val="000000"/>
        </w:rPr>
      </w:r>
      <w:commentRangeEnd w:id="9"/>
      <w:r>
        <w:commentReference w:id="9"/>
      </w:r>
      <w:r>
        <w:rPr>
          <w:color w:val="000000"/>
        </w:rPr>
        <w:t xml:space="preserve"> (</w:t>
      </w:r>
      <w:r>
        <w:rPr>
          <w:b/>
          <w:bCs/>
          <w:color w:val="000000"/>
        </w:rPr>
        <w:t>Table 2</w:t>
      </w:r>
      <w:r>
        <w:rPr>
          <w:color w:val="000000"/>
        </w:rPr>
        <w:t xml:space="preserve">; </w:t>
      </w:r>
      <w:r>
        <w:rPr>
          <w:b/>
          <w:bCs/>
          <w:color w:val="000000"/>
        </w:rPr>
        <w:t>Figure 3A</w:t>
      </w:r>
      <w:r>
        <w:rPr>
          <w:color w:val="000000"/>
        </w:rPr>
        <w:t xml:space="preserve">). </w:t>
      </w:r>
    </w:p>
    <w:p>
      <w:pPr>
        <w:pStyle w:val="Normal"/>
        <w:rPr/>
      </w:pPr>
      <w:r>
        <w:rPr>
          <w:color w:val="000000"/>
        </w:rPr>
        <w:t xml:space="preserve">We then tested the influence of mouse strain and parasite isolate on </w:t>
      </w:r>
      <w:r>
        <w:rPr/>
        <w:t>maximum number of oocysts per mouse gram</w:t>
      </w:r>
      <w:r>
        <w:rPr>
          <w:color w:val="000000"/>
        </w:rPr>
        <w:t>. We found statistically significant effects of parasite isolate (LRT: G = 28.8, df = 8, P &lt; 0.001), mouse strain (LRT: G = 30.3, df = 9, P &lt; 0.001) as well as an interaction between parasite isolate and mouse strain (LRT: G = 25.3, df = 6, P &lt; 0.001). Post-hoc multiple comparison tests showed that PWD (Mmm strain) shed less oocysts per mouse gram at the peak of shedding when infected with Brandenburg88 (</w:t>
      </w:r>
      <w:r>
        <w:rPr>
          <w:i/>
          <w:color w:val="000000"/>
        </w:rPr>
        <w:t>E. falciformis</w:t>
      </w:r>
      <w:r>
        <w:rPr>
          <w:color w:val="000000"/>
        </w:rPr>
        <w:t xml:space="preserve"> isolate) than with the two </w:t>
      </w:r>
      <w:r>
        <w:rPr>
          <w:i/>
          <w:color w:val="000000"/>
        </w:rPr>
        <w:t>E. ferrisi</w:t>
      </w:r>
      <w:r>
        <w:rPr>
          <w:color w:val="000000"/>
        </w:rPr>
        <w:t xml:space="preserve"> isolates, Brandenburg64 and Brandenburg139. Mice belonging to the second Mmm strain, BUSNA, shed less oocysts per mouse gram at the peak of shedding when infected with Brandenburg88 than with Brandenburg64</w:t>
      </w:r>
      <w:r>
        <w:rPr/>
        <w:t xml:space="preserve">. </w:t>
      </w:r>
      <w:commentRangeStart w:id="10"/>
      <w:r>
        <w:rPr/>
        <w:t>O</w:t>
      </w:r>
      <w:r>
        <w:rPr>
          <w:color w:val="000000"/>
        </w:rPr>
        <w:t>verall</w:t>
      </w:r>
      <w:r>
        <w:rPr>
          <w:color w:val="000000"/>
        </w:rPr>
      </w:r>
      <w:commentRangeEnd w:id="10"/>
      <w:r>
        <w:commentReference w:id="10"/>
      </w:r>
      <w:r>
        <w:rPr>
          <w:color w:val="000000"/>
        </w:rPr>
        <w:t>, we found no significant difference between the strains of the same subspecies within a given parasite species infection, nor between the isolates of the same species within a given mouse strain (</w:t>
      </w:r>
      <w:r>
        <w:rPr>
          <w:b/>
          <w:bCs/>
          <w:color w:val="000000"/>
        </w:rPr>
        <w:t>Supplementary Tab</w:t>
      </w:r>
      <w:r>
        <w:rPr>
          <w:b/>
          <w:bCs/>
          <w:color w:val="000000"/>
          <w:highlight w:val="white"/>
        </w:rPr>
        <w:t>le S4</w:t>
      </w:r>
      <w:r>
        <w:rPr/>
        <w:t xml:space="preserve">; </w:t>
      </w:r>
      <w:r>
        <w:rPr>
          <w:b/>
        </w:rPr>
        <w:t>Figure 4A</w:t>
      </w:r>
      <w:r>
        <w:rPr/>
        <w:t>).</w:t>
      </w:r>
    </w:p>
    <w:p>
      <w:pPr>
        <w:pStyle w:val="Heading2"/>
        <w:jc w:val="both"/>
        <w:rPr/>
      </w:pPr>
      <w:r>
        <w:rPr/>
        <w:t xml:space="preserve">Health of </w:t>
      </w:r>
      <w:r>
        <w:rPr>
          <w:i/>
          <w:iCs/>
        </w:rPr>
        <w:t>M. m. musculus</w:t>
      </w:r>
      <w:r>
        <w:rPr/>
        <w:t xml:space="preserve"> is more impacted by </w:t>
      </w:r>
      <w:r>
        <w:rPr>
          <w:i/>
          <w:iCs/>
        </w:rPr>
        <w:t>E. falciformis</w:t>
      </w:r>
      <w:r>
        <w:rPr/>
        <w:t xml:space="preserve"> than by </w:t>
      </w:r>
      <w:r>
        <w:rPr>
          <w:i/>
          <w:iCs/>
        </w:rPr>
        <w:t>E. ferrisi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bCs/>
          <w:color w:val="000000"/>
        </w:rPr>
        <w:t>Table 3</w:t>
      </w:r>
      <w:r>
        <w:rPr>
          <w:color w:val="000000"/>
        </w:rPr>
        <w:t xml:space="preserve">, </w:t>
      </w:r>
      <w:r>
        <w:rPr>
          <w:b/>
        </w:rPr>
        <w:t>Figure 3B</w:t>
      </w:r>
      <w:r>
        <w:rPr>
          <w:color w:val="000000"/>
        </w:rPr>
        <w:t>).</w:t>
      </w:r>
    </w:p>
    <w:p>
      <w:pPr>
        <w:pStyle w:val="Normal"/>
        <w:rPr/>
      </w:pPr>
      <w:r>
        <w:rPr>
          <w:color w:val="000000"/>
        </w:rPr>
        <w:t xml:space="preserve">Then we modelled maximum weight loss separating </w:t>
      </w:r>
      <w:r>
        <w:rPr>
          <w:i/>
          <w:color w:val="000000"/>
        </w:rPr>
        <w:t>Eimeria </w:t>
      </w:r>
      <w:r>
        <w:rPr>
          <w:color w:val="000000"/>
        </w:rPr>
        <w:t>by isolates (instead of species) and mice by strains (instead of subspecies). We found differences between parasite isolates (</w:t>
      </w:r>
      <w:r>
        <w:rPr/>
        <w:t xml:space="preserve">LRT: G = 30.7, df = 8, P </w:t>
      </w:r>
      <w:r>
        <w:rPr>
          <w:color w:val="000000"/>
        </w:rPr>
        <w:t>&lt; 0.001</w:t>
      </w:r>
      <w:r>
        <w:rPr/>
        <w:t xml:space="preserve">) and mouse strains </w:t>
      </w:r>
      <w:r>
        <w:rPr>
          <w:color w:val="000000"/>
        </w:rPr>
        <w:t>(</w:t>
      </w:r>
      <w:r>
        <w:rPr/>
        <w:t xml:space="preserve">LRT: G = 23, df = 9, P </w:t>
      </w:r>
      <w:r>
        <w:rPr>
          <w:color w:val="000000"/>
        </w:rPr>
        <w:t>&lt; 0.01)</w:t>
      </w:r>
      <w:r>
        <w:rPr/>
        <w:t xml:space="preserve">. Notably, PWD (Mmm) mice infected with </w:t>
      </w:r>
      <w:r>
        <w:rPr>
          <w:color w:val="000000"/>
        </w:rPr>
        <w:t xml:space="preserve">Brandenburg64 </w:t>
      </w:r>
      <w:r>
        <w:rPr/>
        <w:t>(</w:t>
      </w:r>
      <w:r>
        <w:rPr>
          <w:i/>
          <w:color w:val="000000"/>
        </w:rPr>
        <w:t>E. ferrisi</w:t>
      </w:r>
      <w:r>
        <w:rPr/>
        <w:t>) lost significantly more weight than STRA mice (Mmd) infected with the same isolate , following the pattern described at the mouse subspecies-parasite species level (</w:t>
      </w:r>
      <w:r>
        <w:rPr>
          <w:color w:val="000000"/>
        </w:rPr>
        <w:t xml:space="preserve">Mmd losing less weight than Mmm when infected by </w:t>
      </w:r>
      <w:r>
        <w:rPr>
          <w:i/>
          <w:color w:val="000000"/>
        </w:rPr>
        <w:t>E. ferrisi</w:t>
      </w:r>
      <w:r>
        <w:rPr/>
        <w:t xml:space="preserve">). </w:t>
      </w:r>
      <w:r>
        <w:rPr>
          <w:color w:val="000000"/>
        </w:rPr>
        <w:t>Overall, we did not find any significant difference between mouse strains of the same subspecies within a given parasite species infection or between parasite isolates of the same species within a given mouse strain (</w:t>
      </w:r>
      <w:r>
        <w:rPr>
          <w:b/>
          <w:bCs/>
          <w:color w:val="000000"/>
        </w:rPr>
        <w:t>Supplementary Table S</w:t>
      </w:r>
      <w:r>
        <w:rPr>
          <w:b/>
          <w:bCs/>
          <w:color w:val="000000"/>
          <w:highlight w:val="white"/>
        </w:rPr>
        <w:t>5</w:t>
      </w:r>
      <w:r>
        <w:rPr>
          <w:color w:val="000000"/>
          <w:highlight w:val="white"/>
        </w:rPr>
        <w:t>;</w:t>
      </w:r>
      <w:r>
        <w:rPr>
          <w:color w:val="000000"/>
        </w:rPr>
        <w:t xml:space="preserve"> </w:t>
      </w:r>
      <w:r>
        <w:rPr>
          <w:b/>
        </w:rPr>
        <w:t>Figure 4B</w:t>
      </w:r>
      <w:r>
        <w:rPr/>
        <w:t>).</w:t>
      </w:r>
    </w:p>
    <w:p>
      <w:pPr>
        <w:pStyle w:val="Normal"/>
        <w:rPr/>
      </w:pPr>
      <w:r>
        <w:rPr/>
      </w:r>
    </w:p>
    <w:p>
      <w:pPr>
        <w:pStyle w:val="Heading2"/>
        <w:jc w:val="both"/>
        <w:rPr/>
      </w:pPr>
      <w:r>
        <w:rPr>
          <w:i/>
        </w:rPr>
        <w:t>M.</w:t>
      </w:r>
      <w:r>
        <w:rPr>
          <w:i/>
          <w:color w:val="000000"/>
          <w:sz w:val="24"/>
          <w:szCs w:val="24"/>
        </w:rPr>
        <w:t> </w:t>
      </w:r>
      <w:r>
        <w:rPr>
          <w:i/>
        </w:rPr>
        <w:t>m.</w:t>
      </w:r>
      <w:r>
        <w:rPr>
          <w:i/>
          <w:color w:val="000000"/>
          <w:sz w:val="24"/>
          <w:szCs w:val="24"/>
        </w:rPr>
        <w:t> </w:t>
      </w:r>
      <w:r>
        <w:rPr>
          <w:i/>
        </w:rPr>
        <w:t>musculus</w:t>
      </w:r>
      <w:r>
        <w:rPr/>
        <w:t xml:space="preserve"> is less tolerant to </w:t>
      </w:r>
      <w:r>
        <w:rPr>
          <w:i/>
        </w:rPr>
        <w:t>E.</w:t>
      </w:r>
      <w:r>
        <w:rPr>
          <w:i/>
          <w:color w:val="000000"/>
          <w:sz w:val="24"/>
          <w:szCs w:val="24"/>
        </w:rPr>
        <w:t> </w:t>
      </w:r>
      <w:r>
        <w:rPr>
          <w:i/>
        </w:rPr>
        <w:t xml:space="preserve">falciformis </w:t>
      </w:r>
      <w:r>
        <w:rPr/>
        <w:t>than to</w:t>
      </w:r>
      <w:r>
        <w:rPr>
          <w:i/>
        </w:rPr>
        <w:t xml:space="preserve"> E.</w:t>
      </w:r>
      <w:r>
        <w:rPr>
          <w:i/>
          <w:color w:val="000000"/>
          <w:sz w:val="24"/>
          <w:szCs w:val="24"/>
        </w:rPr>
        <w:t> </w:t>
      </w:r>
      <w:r>
        <w:rPr>
          <w:i/>
        </w:rPr>
        <w:t>ferrisi</w:t>
      </w:r>
    </w:p>
    <w:p>
      <w:pPr>
        <w:pStyle w:val="Normal"/>
        <w:rPr/>
      </w:pPr>
      <w:r>
        <w:rPr>
          <w:color w:val="000000"/>
        </w:rPr>
        <w:t xml:space="preserve">Combining resistance and the impact on health, we assessed tolerance of the mouse subspecies to both </w:t>
      </w:r>
      <w:r>
        <w:rPr>
          <w:i/>
          <w:color w:val="000000"/>
        </w:rPr>
        <w:t>Eimeria </w:t>
      </w:r>
      <w:r>
        <w:rPr>
          <w:color w:val="000000"/>
        </w:rPr>
        <w:t xml:space="preserve">species on the 99 mice for which this index could be calculated. Tolerance index was found to differ significantly between the mouse subspecies (LRT: G = 19.4, df = 2, P &lt; 0.001), between the two parasite species (LRT: G = 16.8, df = 2, P &lt; 0.001). Significant were also interactions between mouse subspecies and parasite species (LRT: G = 10.1, df = 1, P &lt; 0.01). Post-hoc multiple comparison tests showed that tolerance index upon infection with </w:t>
      </w:r>
      <w:r>
        <w:rPr>
          <w:i/>
          <w:iCs/>
          <w:color w:val="000000"/>
        </w:rPr>
        <w:t>E. falciformis</w:t>
      </w:r>
      <w:r>
        <w:rPr>
          <w:color w:val="000000"/>
        </w:rPr>
        <w:t xml:space="preserve"> was higher for Mmd than for Mmm. Within Mmm subspecies, animals had a lower tolerance index to </w:t>
      </w:r>
      <w:r>
        <w:rPr>
          <w:i/>
          <w:color w:val="000000"/>
        </w:rPr>
        <w:t>E. falciformis</w:t>
      </w:r>
      <w:r>
        <w:rPr>
          <w:color w:val="000000"/>
        </w:rPr>
        <w:t xml:space="preserve"> than to </w:t>
      </w:r>
      <w:r>
        <w:rPr>
          <w:i/>
          <w:color w:val="000000"/>
        </w:rPr>
        <w:t xml:space="preserve">E. ferrisi </w:t>
      </w:r>
      <w:r>
        <w:rPr>
          <w:color w:val="000000"/>
        </w:rPr>
        <w:t>(</w:t>
      </w:r>
      <w:r>
        <w:rPr>
          <w:b/>
          <w:bCs/>
          <w:color w:val="000000"/>
        </w:rPr>
        <w:t>Table 4</w:t>
      </w:r>
      <w:r>
        <w:rPr>
          <w:color w:val="000000"/>
        </w:rPr>
        <w:t xml:space="preserve">; </w:t>
      </w:r>
      <w:r>
        <w:rPr>
          <w:b/>
        </w:rPr>
        <w:t>Figure 3C</w:t>
      </w:r>
      <w:r>
        <w:rPr>
          <w:color w:val="000000"/>
        </w:rPr>
        <w:t>).</w:t>
      </w:r>
    </w:p>
    <w:p>
      <w:pPr>
        <w:pStyle w:val="Normal"/>
        <w:rPr/>
      </w:pPr>
      <w:r>
        <w:rPr>
          <w:color w:val="000000"/>
        </w:rPr>
        <w:t xml:space="preserve">Testing at the level of </w:t>
      </w:r>
      <w:r>
        <w:rPr>
          <w:i/>
          <w:color w:val="000000"/>
        </w:rPr>
        <w:t>Eimeria </w:t>
      </w:r>
      <w:r>
        <w:rPr>
          <w:color w:val="000000"/>
        </w:rPr>
        <w:t xml:space="preserve">isolates and mouse strains, we found between-parasite isolates differences (LRT: G = 21.7, df = 8, P &lt; 0.01), between-mouse strains differences (LRT: G = 27.3, df = 9, P &lt; 0.01), and interaction between the two factors (LRT: G = 14.2, df = 6, </w:t>
      </w:r>
      <w:commentRangeStart w:id="11"/>
      <w:r>
        <w:rPr>
          <w:color w:val="000000"/>
        </w:rPr>
        <w:t>P = 0.027).</w:t>
      </w:r>
      <w:r>
        <w:rPr>
          <w:color w:val="CE181E"/>
        </w:rPr>
        <w:t xml:space="preserve"> </w:t>
      </w:r>
      <w:r>
        <w:rPr>
          <w:color w:val="000000"/>
        </w:rPr>
        <w:t>Post-hoc multiple comparison tests showed statistically significant differences between PWD infected with Brandenburg88 against both Mmd strains infected with the same parasite isolate (</w:t>
      </w:r>
      <w:r>
        <w:rPr/>
        <w:t xml:space="preserve">Tukey Multiple Comparisons of Means, </w:t>
      </w:r>
      <w:r>
        <w:rPr>
          <w:color w:val="000000"/>
        </w:rPr>
        <w:t xml:space="preserve">STRA: </w:t>
      </w:r>
      <w:r>
        <w:rPr/>
        <w:t xml:space="preserve">z = -3.68, P = 0.02; </w:t>
      </w:r>
      <w:r>
        <w:rPr>
          <w:color w:val="000000"/>
        </w:rPr>
        <w:t>SCHUNT: z = -3.45, P = 0.04), and against animals of the same strain infected with Brandenburg64 (</w:t>
      </w:r>
      <w:r>
        <w:rPr/>
        <w:t>Tukey Multiple Comparisons of Means:</w:t>
      </w:r>
      <w:r>
        <w:rPr>
          <w:color w:val="000000"/>
        </w:rPr>
        <w:t xml:space="preserve"> </w:t>
      </w:r>
      <w:r>
        <w:rPr/>
        <w:t>z = -3.56, P = 0.03</w:t>
      </w:r>
      <w:r>
        <w:rPr>
          <w:color w:val="000000"/>
        </w:rPr>
        <w:t xml:space="preserve">). </w:t>
      </w:r>
      <w:r>
        <w:rPr>
          <w:color w:val="000000"/>
        </w:rPr>
      </w:r>
      <w:commentRangeEnd w:id="11"/>
      <w:r>
        <w:commentReference w:id="11"/>
      </w:r>
      <w:r>
        <w:rPr>
          <w:color w:val="000000"/>
        </w:rPr>
        <w:t>Overall, we did not find any significant difference in tolerance between mouse strains of the same subspecies within a given parasite species infection, or between parasite isolates of the same species within a given mouse strain</w:t>
      </w:r>
      <w:r>
        <w:rPr/>
        <w:t xml:space="preserve"> (</w:t>
      </w:r>
      <w:r>
        <w:rPr>
          <w:b/>
          <w:bCs/>
          <w:color w:val="000000"/>
        </w:rPr>
        <w:t xml:space="preserve">Supplementary Table </w:t>
      </w:r>
      <w:r>
        <w:rPr>
          <w:b/>
          <w:bCs/>
          <w:color w:val="000000"/>
          <w:highlight w:val="white"/>
        </w:rPr>
        <w:t>S</w:t>
      </w:r>
      <w:r>
        <w:rPr>
          <w:b/>
          <w:bCs/>
          <w:highlight w:val="white"/>
        </w:rPr>
        <w:t>6</w:t>
      </w:r>
      <w:r>
        <w:rPr/>
        <w:t xml:space="preserve">; </w:t>
      </w:r>
      <w:r>
        <w:rPr>
          <w:b/>
        </w:rPr>
        <w:t>Figure 4C</w:t>
      </w:r>
      <w:r>
        <w:rPr/>
        <w:t xml:space="preserve">). </w:t>
      </w:r>
      <w:r>
        <w:rPr>
          <w:color w:val="000000"/>
        </w:rPr>
        <w:t xml:space="preserve">These results indicate that the lower tolerance of Mmm to </w:t>
      </w:r>
      <w:r>
        <w:rPr>
          <w:i/>
          <w:color w:val="000000"/>
        </w:rPr>
        <w:t xml:space="preserve">E. falciformis </w:t>
      </w:r>
      <w:r>
        <w:rPr>
          <w:color w:val="000000"/>
        </w:rPr>
        <w:t>compared to Mmd is consistent at the strain level.</w:t>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strains within each of the parasite species, we fitted a linear model of tolerance index by resistance index allowing for differences in intercept and slope for </w:t>
      </w:r>
      <w:r>
        <w:rPr>
          <w:i/>
        </w:rPr>
        <w:t xml:space="preserve">Eimeria </w:t>
      </w:r>
      <w:r>
        <w:rPr/>
        <w:t xml:space="preserve">species. We found that tolerance index was negatively correlated with resistance index (LRT: G = 24.1, df = 2, p &lt; 0.001), was different for both </w:t>
      </w:r>
      <w:r>
        <w:rPr>
          <w:i/>
          <w:iCs/>
        </w:rPr>
        <w:t xml:space="preserve">Eimeria </w:t>
      </w:r>
      <w:r>
        <w:rPr/>
        <w:t xml:space="preserve">species (LRT: G = 23.3, df = 2, p &lt; 0.001), and, notably, interaction between these two factors were significant (LRT: G = 19.8, df = 1, p &lt; 0.001). </w:t>
      </w:r>
      <w:r>
        <w:rPr>
          <w:color w:val="000000"/>
        </w:rPr>
        <w:t>E</w:t>
      </w:r>
      <w:r>
        <w:rPr/>
        <w:t xml:space="preserve">very increase of 1 unit of resistance index corresponds to a decrease of 0.06 unit of tolerance index for </w:t>
      </w:r>
      <w:r>
        <w:rPr>
          <w:i/>
        </w:rPr>
        <w:t xml:space="preserve">E. ferrisi </w:t>
      </w:r>
      <w:r>
        <w:rPr/>
        <w:t xml:space="preserve">(95%CI: [-0.21 , 0.09]) and to a decrease of 1.2 unit of tolerance index for </w:t>
      </w:r>
      <w:r>
        <w:rPr>
          <w:i/>
        </w:rPr>
        <w:t>E. falciformis</w:t>
      </w:r>
      <w:r>
        <w:rPr/>
        <w:t xml:space="preserve"> (95%CI: [-1.73 , -0.75]). As the confidence interval for </w:t>
      </w:r>
      <w:r>
        <w:rPr>
          <w:i/>
        </w:rPr>
        <w:t>E. ferrisi</w:t>
      </w:r>
      <w:r>
        <w:rPr/>
        <w:t xml:space="preserve"> involves 0, tolerance and resistance indexes are not correlated for this parasite species, meaning that there is no coupling between resistance and tolerance in the mouse strains/subspecies studied. By contrast, we observe a strong negative correlation of resistance and tolerance for </w:t>
      </w:r>
      <w:r>
        <w:rPr>
          <w:i/>
        </w:rPr>
        <w:t xml:space="preserve">E. falciformis </w:t>
      </w:r>
      <w:r>
        <w:rPr/>
        <w:t>(</w:t>
      </w:r>
      <w:r>
        <w:rPr>
          <w:b/>
        </w:rPr>
        <w:t>Figure 5</w:t>
      </w:r>
      <w:r>
        <w:rPr/>
        <w:t>)</w:t>
      </w:r>
      <w:r>
        <w:rPr>
          <w:highlight w:val="white"/>
        </w:rPr>
        <w:t xml:space="preserve">. One mouse (point </w:t>
      </w:r>
      <w:r>
        <w:rPr>
          <w:kern w:val="0"/>
          <w:highlight w:val="white"/>
        </w:rPr>
        <w:t xml:space="preserve">[0,0.81]) seem to be an  outlier; consequently, we tested how this point was affecting the linear fit by excluding it from our model. We found the trends remained stable after the outlier removal: tolerance index was negatively correlated with resistance index (LRT: G = 23.7, df = 2, p &lt; 0.001), was different for both </w:t>
      </w:r>
      <w:r>
        <w:rPr>
          <w:i/>
          <w:iCs/>
          <w:kern w:val="0"/>
          <w:highlight w:val="white"/>
        </w:rPr>
        <w:t>Eimeria </w:t>
      </w:r>
      <w:r>
        <w:rPr>
          <w:kern w:val="0"/>
          <w:highlight w:val="white"/>
        </w:rPr>
        <w:t xml:space="preserve">species (LRT: G = 21.9, df = 2, p &lt; 0.001), and interaction between these two factors were significant (LRT: G = 18.5, df = 1, p &lt; 0.001). </w:t>
      </w:r>
      <w:r>
        <w:rPr>
          <w:color w:val="000000"/>
          <w:kern w:val="0"/>
          <w:highlight w:val="white"/>
        </w:rPr>
        <w:t>E</w:t>
      </w:r>
      <w:r>
        <w:rPr>
          <w:kern w:val="0"/>
          <w:highlight w:val="white"/>
        </w:rPr>
        <w:t xml:space="preserve">very increase of 1 unit of resistance index corresponds to a decrease of 0.06 unit of tolerance index for </w:t>
      </w:r>
      <w:r>
        <w:rPr>
          <w:i/>
          <w:kern w:val="0"/>
          <w:highlight w:val="white"/>
        </w:rPr>
        <w:t>E.</w:t>
      </w:r>
      <w:r>
        <w:rPr>
          <w:i/>
          <w:kern w:val="0"/>
        </w:rPr>
        <w:t> </w:t>
      </w:r>
      <w:r>
        <w:rPr>
          <w:i/>
          <w:kern w:val="0"/>
          <w:highlight w:val="white"/>
        </w:rPr>
        <w:t xml:space="preserve">ferrisi </w:t>
      </w:r>
      <w:r>
        <w:rPr>
          <w:kern w:val="0"/>
          <w:highlight w:val="white"/>
        </w:rPr>
        <w:t xml:space="preserve">(95%CI: [-0.26 , 0.14]) and to a decrease of 1.2 unit of tolerance index for </w:t>
      </w:r>
      <w:r>
        <w:rPr>
          <w:i/>
          <w:kern w:val="0"/>
          <w:highlight w:val="white"/>
        </w:rPr>
        <w:t>E.</w:t>
      </w:r>
      <w:r>
        <w:rPr>
          <w:i/>
          <w:kern w:val="0"/>
        </w:rPr>
        <w:t> </w:t>
      </w:r>
      <w:r>
        <w:rPr>
          <w:i/>
          <w:kern w:val="0"/>
          <w:highlight w:val="white"/>
        </w:rPr>
        <w:t>falciformis</w:t>
      </w:r>
      <w:r>
        <w:rPr>
          <w:kern w:val="0"/>
          <w:highlight w:val="white"/>
        </w:rPr>
        <w:t xml:space="preserve"> (95%CI: [-1.73 , -0.75]). </w:t>
      </w:r>
    </w:p>
    <w:p>
      <w:pPr>
        <w:pStyle w:val="Normal"/>
        <w:rPr>
          <w:highlight w:val="white"/>
        </w:rPr>
      </w:pPr>
      <w:r>
        <w:rPr>
          <w:highlight w:val="white"/>
        </w:rPr>
      </w:r>
    </w:p>
    <w:p>
      <w:pPr>
        <w:pStyle w:val="Normal"/>
        <w:rPr/>
      </w:pPr>
      <w:r>
        <w:rPr/>
      </w:r>
      <w:r>
        <w:br w:type="page"/>
      </w:r>
    </w:p>
    <w:p>
      <w:pPr>
        <w:pStyle w:val="Heading1"/>
        <w:widowControl/>
        <w:jc w:val="both"/>
        <w:rPr>
          <w:sz w:val="24"/>
        </w:rPr>
      </w:pPr>
      <w:bookmarkStart w:id="12" w:name="_mlftpgaod54o"/>
      <w:bookmarkEnd w:id="12"/>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While the Western mouse (</w:t>
      </w:r>
      <w:r>
        <w:rPr>
          <w:i/>
          <w:iCs/>
        </w:rPr>
        <w:t>M. m. domesticus</w:t>
      </w:r>
      <w:r>
        <w:rPr/>
        <w:t>, Mmd) did not show strong differences between the parasite species, the Eastern mouse (</w:t>
      </w:r>
      <w:r>
        <w:rPr>
          <w:i/>
          <w:iCs/>
        </w:rPr>
        <w:t>M. m. musculus</w:t>
      </w:r>
      <w:r>
        <w:rPr/>
        <w:t xml:space="preserve">, Mmm), was found to be more resistant but less tolerant to </w:t>
      </w:r>
      <w:r>
        <w:rPr>
          <w:i/>
        </w:rPr>
        <w:t>E. falciformis</w:t>
      </w:r>
      <w:r>
        <w:rPr/>
        <w:t xml:space="preserve"> than to </w:t>
      </w:r>
      <w:r>
        <w:rPr>
          <w:i/>
        </w:rPr>
        <w:t>E. ferrisi</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et al.,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et al.,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3" w:name="_3j2qqm3"/>
      <w:bookmarkEnd w:id="13"/>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color="auto"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sectPr>
          <w:type w:val="nextPage"/>
          <w:pgSz w:w="12240" w:h="15840"/>
          <w:pgMar w:left="1134" w:right="1134" w:header="0" w:top="1134" w:footer="0" w:bottom="1134" w:gutter="0"/>
          <w:pgNumType w:start="1" w:fmt="decimal"/>
          <w:formProt w:val="false"/>
          <w:textDirection w:val="lrTb"/>
          <w:docGrid w:type="default" w:linePitch="312" w:charSpace="0"/>
        </w:sectPr>
        <w:pStyle w:val="Normal"/>
        <w:jc w:val="left"/>
        <w:rPr>
          <w:b/>
          <w:b/>
          <w:color w:val="000000"/>
        </w:rPr>
      </w:pPr>
      <w:r>
        <w:rPr>
          <w:b/>
          <w:color w:val="000000"/>
        </w:rPr>
        <w:t>Table 1. Infection experiment design.</w:t>
        <w:tab/>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531985" cy="296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531985" cy="2965450"/>
                    </a:xfrm>
                    <a:prstGeom prst="rect">
                      <a:avLst/>
                    </a:prstGeom>
                  </pic:spPr>
                </pic:pic>
              </a:graphicData>
            </a:graphic>
          </wp:anchor>
        </w:drawing>
      </w:r>
      <w:r>
        <w:rPr>
          <w:b/>
        </w:rPr>
        <w:t>T</w:t>
      </w:r>
      <w:r>
        <w:rPr>
          <w:b/>
        </w:rPr>
        <w:t>able 2. Post-hoc statistical test for maximum oocyts density (Tuk</w:t>
      </w:r>
      <w:r>
        <w:rPr>
          <w:b/>
          <w:bCs/>
        </w:rPr>
        <w:t>ey Multiple Comparisons of Means). See Figure 3A.</w:t>
      </w:r>
      <w:r>
        <w:br w:type="page"/>
      </w:r>
    </w:p>
    <w:p>
      <w:pPr>
        <w:pStyle w:val="Normal"/>
        <w:spacing w:lineRule="auto" w:line="240" w:before="240" w:after="0"/>
        <w:jc w:val="left"/>
        <w:rPr>
          <w:b/>
          <w:b/>
        </w:rPr>
      </w:pPr>
      <w:r>
        <w:rPr>
          <w:b/>
        </w:rPr>
        <w:drawing>
          <wp:anchor behindDoc="0" distT="0" distB="0" distL="0" distR="0" simplePos="0" locked="0" layoutInCell="1" allowOverlap="1" relativeHeight="3">
            <wp:simplePos x="0" y="0"/>
            <wp:positionH relativeFrom="column">
              <wp:posOffset>-63500</wp:posOffset>
            </wp:positionH>
            <wp:positionV relativeFrom="paragraph">
              <wp:posOffset>933450</wp:posOffset>
            </wp:positionV>
            <wp:extent cx="9531985" cy="295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9531985" cy="2959100"/>
                    </a:xfrm>
                    <a:prstGeom prst="rect">
                      <a:avLst/>
                    </a:prstGeom>
                  </pic:spPr>
                </pic:pic>
              </a:graphicData>
            </a:graphic>
          </wp:anchor>
        </w:drawing>
      </w:r>
    </w:p>
    <w:p>
      <w:pPr>
        <w:pStyle w:val="Normal"/>
        <w:spacing w:lineRule="auto" w:line="240" w:before="240" w:after="0"/>
        <w:jc w:val="left"/>
        <w:rPr>
          <w:b/>
          <w:b/>
        </w:rPr>
      </w:pPr>
      <w:r>
        <w:rPr>
          <w:b/>
        </w:rPr>
      </w:r>
    </w:p>
    <w:p>
      <w:pPr>
        <w:pStyle w:val="Normal"/>
        <w:spacing w:lineRule="auto" w:line="240" w:before="240" w:after="0"/>
        <w:jc w:val="left"/>
        <w:rPr/>
      </w:pPr>
      <w:r>
        <w:rPr>
          <w:b/>
        </w:rPr>
        <w:t>Table 3. Post-hoc statistical test for maximum weight loss (Tuk</w:t>
      </w:r>
      <w:r>
        <w:rPr>
          <w:b/>
          <w:bCs/>
        </w:rPr>
        <w:t>ey Multiple Comparisons of Means). See Figure 3B.</w:t>
      </w:r>
      <w:r>
        <w:br w:type="page"/>
      </w:r>
    </w:p>
    <w:p>
      <w:pPr>
        <w:pStyle w:val="Normal"/>
        <w:spacing w:lineRule="auto" w:line="240" w:before="240" w:after="0"/>
        <w:jc w:val="left"/>
        <w:rPr>
          <w:b/>
          <w:b/>
        </w:rPr>
      </w:pPr>
      <w:r>
        <w:rPr>
          <w:b/>
        </w:rPr>
      </w:r>
    </w:p>
    <w:p>
      <w:pPr>
        <w:sectPr>
          <w:headerReference w:type="default" r:id="rId6"/>
          <w:footerReference w:type="default" r:id="rId7"/>
          <w:type w:val="nextPage"/>
          <w:pgSz w:orient="landscape" w:w="16838" w:h="11906"/>
          <w:pgMar w:left="1134" w:right="1134" w:header="0" w:top="1134" w:footer="0" w:bottom="1134" w:gutter="0"/>
          <w:pgNumType w:fmt="decimal"/>
          <w:formProt w:val="false"/>
          <w:textDirection w:val="lrTb"/>
          <w:docGrid w:type="default" w:linePitch="600" w:charSpace="32768"/>
        </w:sectPr>
        <w:pStyle w:val="Normal"/>
        <w:spacing w:lineRule="auto" w:line="240" w:before="240" w:after="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9531985" cy="2965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9531985" cy="2965450"/>
                    </a:xfrm>
                    <a:prstGeom prst="rect">
                      <a:avLst/>
                    </a:prstGeom>
                  </pic:spPr>
                </pic:pic>
              </a:graphicData>
            </a:graphic>
          </wp:anchor>
        </w:drawing>
      </w:r>
      <w:r>
        <w:rPr>
          <w:b/>
        </w:rPr>
        <w:t>T</w:t>
      </w:r>
      <w:r>
        <w:rPr>
          <w:b/>
        </w:rPr>
        <w:t>able 4. Post-hoc statistical test for tolerance index (Tuk</w:t>
      </w:r>
      <w:r>
        <w:rPr>
          <w:b/>
          <w:bCs/>
        </w:rPr>
        <w:t>ey Multiple Comparisons of Means). See Figure 3C.</w:t>
      </w:r>
    </w:p>
    <w:p>
      <w:pPr>
        <w:pStyle w:val="Heading1"/>
        <w:rPr/>
      </w:pPr>
      <w:bookmarkStart w:id="14" w:name="_1y810tw"/>
      <w:bookmarkEnd w:id="14"/>
      <w:r>
        <w:rPr/>
        <w:t>Figures</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9662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120130" cy="3966210"/>
                    </a:xfrm>
                    <a:prstGeom prst="rect">
                      <a:avLst/>
                    </a:prstGeom>
                  </pic:spPr>
                </pic:pic>
              </a:graphicData>
            </a:graphic>
          </wp:anchor>
        </w:drawing>
      </w:r>
      <w:r>
        <w:rPr>
          <w:b/>
          <w:color w:val="000000"/>
        </w:rPr>
        <w:t xml:space="preserve">Figure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et al., 2012, Macholán et al. 2019)</w:t>
      </w:r>
      <w:r>
        <w:rPr>
          <w:color w:val="000000"/>
        </w:rPr>
        <w:t xml:space="preserve">. </w:t>
      </w:r>
    </w:p>
    <w:p>
      <w:pPr>
        <w:pStyle w:val="Normal"/>
        <w:jc w:val="left"/>
        <w:rPr>
          <w:color w:val="000000"/>
        </w:rPr>
      </w:pPr>
      <w:r>
        <w:rPr>
          <w:color w:val="000000"/>
        </w:rPr>
        <w:t xml:space="preserve"> </w:t>
      </w:r>
    </w:p>
    <w:p>
      <w:pPr>
        <w:pStyle w:val="Normal"/>
        <w:jc w:val="left"/>
        <w:rPr>
          <w:rFonts w:ascii="Times" w:hAnsi="Times" w:eastAsia="Times" w:cs="Times"/>
          <w:b/>
          <w:b/>
          <w:color w:val="000000"/>
        </w:rPr>
      </w:pPr>
      <w:r>
        <w:rPr>
          <w:rFonts w:eastAsia="Times" w:cs="Times" w:ascii="Times" w:hAnsi="Times"/>
          <w:b/>
          <w:color w:val="000000"/>
        </w:rPr>
      </w:r>
      <w:r>
        <w:br w:type="page"/>
      </w:r>
    </w:p>
    <w:p>
      <w:pPr>
        <w:pStyle w:val="Normal"/>
        <w:ind w:left="-850" w:firstLine="708"/>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59880" cy="332994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9"/>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(10e6) in feces per mouse gram,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firstLine="708"/>
        <w:jc w:val="left"/>
        <w:rPr/>
      </w:pPr>
      <w:r>
        <w:rPr/>
      </w:r>
    </w:p>
    <w:p>
      <w:pPr>
        <w:pStyle w:val="Normal"/>
        <w:jc w:val="left"/>
        <w:rPr>
          <w:b/>
          <w:b/>
          <w:color w:val="000000"/>
        </w:rPr>
      </w:pPr>
      <w:r>
        <w:rPr>
          <w:b/>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47995" cy="55479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547995" cy="5547995"/>
                    </a:xfrm>
                    <a:prstGeom prst="rect">
                      <a:avLst/>
                    </a:prstGeom>
                  </pic:spPr>
                </pic:pic>
              </a:graphicData>
            </a:graphic>
          </wp:anchor>
        </w:drawing>
      </w:r>
    </w:p>
    <w:p>
      <w:pPr>
        <w:pStyle w:val="Normal"/>
        <w:rPr/>
      </w:pPr>
      <w:r>
        <w:rPr>
          <w:b/>
          <w:color w:val="000000"/>
        </w:rPr>
        <w:t xml:space="preserve">Figure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density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3)</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mouse gram + 1e-8) / -8 </w:t>
      </w:r>
      <w:r>
        <w:rPr>
          <w:rFonts w:eastAsia="Century Schoolbook" w:cs="Century Schoolbook"/>
        </w:rPr>
        <w:t>(s</w:t>
      </w:r>
      <w:r>
        <w:rPr>
          <w:rFonts w:eastAsia="Century Schoolbook" w:cs="Century Schoolbook"/>
          <w:color w:val="000000"/>
        </w:rPr>
        <w:t>ee Table 4)</w:t>
      </w:r>
      <w:r>
        <w:br w:type="page"/>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35245" cy="51352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135245" cy="5135245"/>
                    </a:xfrm>
                    <a:prstGeom prst="rect">
                      <a:avLst/>
                    </a:prstGeom>
                  </pic:spPr>
                </pic:pic>
              </a:graphicData>
            </a:graphic>
          </wp:anchor>
        </w:drawing>
      </w:r>
    </w:p>
    <w:p>
      <w:pPr>
        <w:pStyle w:val="Normal"/>
        <w:ind w:left="-850" w:firstLine="708"/>
        <w:jc w:val="left"/>
        <w:rPr>
          <w:rFonts w:ascii="Times" w:hAnsi="Times" w:eastAsia="Times" w:cs="Times"/>
          <w:b/>
          <w:b/>
          <w:color w:val="000000"/>
        </w:rPr>
      </w:pPr>
      <w:r>
        <w:rPr>
          <w:rFonts w:eastAsia="Times" w:cs="Times" w:ascii="Times" w:hAnsi="Times"/>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rPr/>
      </w:pPr>
      <w:r>
        <w:rPr>
          <w:b/>
          <w:color w:val="000000"/>
        </w:rPr>
        <w:t xml:space="preserve">Figure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density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S4)</w:t>
      </w:r>
      <w:r>
        <w:rPr>
          <w:color w:val="000000"/>
        </w:rPr>
        <w:t xml:space="preserve">; (B) Impact on host health measured as the maximum weight loss during patent period relative to starting weight (%) </w:t>
      </w:r>
      <w:r>
        <w:rPr>
          <w:rFonts w:eastAsia="Century Schoolbook" w:cs="Century Schoolbook"/>
          <w:color w:val="000000"/>
        </w:rPr>
        <w:t>(see Table S5)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mouse gram + 1e-8) / -8 </w:t>
      </w:r>
      <w:r>
        <w:rPr>
          <w:rFonts w:eastAsia="Century Schoolbook" w:cs="Century Schoolbook"/>
        </w:rPr>
        <w:t>(s</w:t>
      </w:r>
      <w:r>
        <w:rPr>
          <w:rFonts w:eastAsia="Century Schoolbook" w:cs="Century Schoolbook"/>
          <w:color w:val="000000"/>
        </w:rPr>
        <w:t>ee Table S6)</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4132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4413250"/>
                    </a:xfrm>
                    <a:prstGeom prst="rect">
                      <a:avLst/>
                    </a:prstGeom>
                  </pic:spPr>
                </pic:pic>
              </a:graphicData>
            </a:graphic>
          </wp:anchor>
        </w:drawing>
      </w:r>
    </w:p>
    <w:p>
      <w:pPr>
        <w:sectPr>
          <w:headerReference w:type="default" r:id="rId13"/>
          <w:footerReference w:type="default" r:id="rId14"/>
          <w:type w:val="nextPage"/>
          <w:pgSz w:w="11906" w:h="16838"/>
          <w:pgMar w:left="1134" w:right="1134" w:header="0" w:top="1134" w:footer="0" w:bottom="1134" w:gutter="0"/>
          <w:pgNumType w:fmt="decimal"/>
          <w:formProt w:val="false"/>
          <w:textDirection w:val="lrTb"/>
          <w:docGrid w:type="default" w:linePitch="100" w:charSpace="0"/>
        </w:sectPr>
        <w:pStyle w:val="Normal"/>
        <w:rPr/>
      </w:pPr>
      <w:r>
        <w:rPr>
          <w:b/>
        </w:rPr>
        <w:t xml:space="preserve">Figure 5. Coupling between resistance and tolerance indexes for two different </w:t>
      </w:r>
      <w:r>
        <w:rPr>
          <w:b/>
          <w:i/>
          <w:color w:val="CE181E"/>
          <w:rPrChange w:id="0" w:author="Unknown Author" w:date="2020-01-20T12:12:35Z"/>
        </w:rPr>
        <w:t>Eimeria </w:t>
      </w:r>
      <w:r>
        <w:rPr>
          <w:b/>
          <w:color w:val="CE181E"/>
          <w:rPrChange w:id="0" w:author="Unknown Author" w:date="2020-01-20T12:12:35Z"/>
        </w:rPr>
        <w:t xml:space="preserve">species. </w:t>
      </w:r>
      <w:r>
        <w:rPr>
          <w:color w:val="CE181E"/>
          <w:rPrChange w:id="0" w:author="Unknown Author" w:date="2020-01-20T12:12:35Z"/>
        </w:rPr>
        <w:t xml:space="preserve">Smaller points represent individual mice, while larger points figure the mean for a given (host strain-parasite isolate) group. Linear regression of tolerance by resistance are shown for both parasite species. Resistance index measured as </w:t>
      </w:r>
      <w:r>
        <w:rPr>
          <w:rFonts w:eastAsia="Century Schoolbook" w:cs="Century Schoolbook" w:ascii="Century Schoolbook" w:hAnsi="Century Schoolbook"/>
          <w:i/>
          <w:color w:val="CE181E"/>
          <w:rPrChange w:id="0" w:author="Unknown Author" w:date="2020-01-20T12:12:35Z"/>
        </w:rPr>
        <w:t>(- maximum number of oocysts per mouse gram + 300000) / 300000</w:t>
      </w:r>
      <w:r>
        <w:rPr>
          <w:rFonts w:eastAsia="Century Schoolbook" w:cs="Century Schoolbook" w:ascii="Century Schoolbook" w:hAnsi="Century Schoolbook"/>
          <w:color w:val="CE181E"/>
          <w:rPrChange w:id="0" w:author="Unknown Author" w:date="2020-01-20T12:12:35Z"/>
        </w:rPr>
        <w:t>, Tolerance index measured as</w:t>
      </w:r>
      <w:r>
        <w:rPr>
          <w:rFonts w:eastAsia="Century Schoolbook" w:cs="Century Schoolbook" w:ascii="Century Schoolbook" w:hAnsi="Century Schoolbook"/>
          <w:i/>
          <w:color w:val="CE181E"/>
          <w:rPrChange w:id="0" w:author="Unknown Author" w:date="2020-01-20T12:12:35Z"/>
        </w:rPr>
        <w:t xml:space="preserve"> (log10(maximum relative weight loss / maximum number of oocysts per mouse gram + 1e-8) / -8</w:t>
      </w:r>
    </w:p>
    <w:p>
      <w:pPr>
        <w:pStyle w:val="Heading1"/>
        <w:rPr/>
      </w:pPr>
      <w:bookmarkStart w:id="15" w:name="_zdv4ak4r58ez"/>
      <w:bookmarkEnd w:id="15"/>
      <w:r>
        <w:rPr/>
        <w:t xml:space="preserve">Funding </w:t>
      </w:r>
    </w:p>
    <w:p>
      <w:pPr>
        <w:pStyle w:val="Normal"/>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720"/>
          <w:tab w:val="left" w:pos="1088" w:leader="none"/>
        </w:tabs>
        <w:jc w:val="both"/>
        <w:rPr>
          <w:bCs/>
        </w:rPr>
      </w:pPr>
      <w:r>
        <w:rPr>
          <w:bCs/>
        </w:rPr>
        <w:t>References</w:t>
      </w:r>
    </w:p>
    <w:p>
      <w:pPr>
        <w:sectPr>
          <w:headerReference w:type="default" r:id="rId15"/>
          <w:footerReference w:type="default" r:id="rId16"/>
          <w:type w:val="nextPage"/>
          <w:pgSz w:w="11906" w:h="16838"/>
          <w:pgMar w:left="1134" w:right="1134" w:header="0" w:top="1134" w:footer="0" w:bottom="1134" w:gutter="0"/>
          <w:pgNumType w:fmt="decimal"/>
          <w:formProt w:val="false"/>
          <w:textDirection w:val="lrTb"/>
          <w:docGrid w:type="default" w:linePitch="100" w:charSpace="0"/>
        </w:sectPr>
      </w:pPr>
    </w:p>
    <w:p>
      <w:pPr>
        <w:pStyle w:val="Bibliography1"/>
        <w:rPr>
          <w:rStyle w:val="InternetLink"/>
        </w:rPr>
      </w:pPr>
      <w:r>
        <w:rPr/>
      </w:r>
    </w:p>
    <w:p>
      <w:pPr>
        <w:pStyle w:val="Bibliography1"/>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Bibliography1"/>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Bibliography1"/>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Bibliography1"/>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Bibliography1"/>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Bibliography1"/>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Bibliography1"/>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Bibliography1"/>
        <w:rPr/>
      </w:pPr>
      <w:r>
        <w:rPr/>
        <w:t xml:space="preserve">Barton, N. H., &amp; Hewitt, G. M. (1985). Analysis of hybrid zones. </w:t>
      </w:r>
      <w:r>
        <w:rPr>
          <w:i/>
        </w:rPr>
        <w:t>Annual Review of Ecology and Systematics</w:t>
      </w:r>
      <w:r>
        <w:rPr/>
        <w:t xml:space="preserve">, </w:t>
      </w:r>
      <w:r>
        <w:rPr>
          <w:i/>
        </w:rPr>
        <w:t>16</w:t>
      </w:r>
      <w:r>
        <w:rPr/>
        <w:t>(1), 113–148.</w:t>
        <w:tab/>
        <w:t xml:space="preserve"> https://doi.org/10.1146/annurev.es.16.110185.000553</w:t>
      </w:r>
    </w:p>
    <w:p>
      <w:pPr>
        <w:pStyle w:val="Bibliography1"/>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Bibliography1"/>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Bibliography1"/>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Bibliography1"/>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Bibliography1"/>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Bibliography1"/>
        <w:rPr/>
      </w:pPr>
      <w:r>
        <w:rPr/>
        <w:t xml:space="preserve">Graham, A. L., Allen, Judith. E., &amp; Read, A. F. (2005). Evolutionary causes and consequences of immunopathology. </w:t>
      </w:r>
      <w:r>
        <w:rPr>
          <w:i/>
        </w:rPr>
        <w:t>Annual Review of Ecology, Evolution, and Systematics</w:t>
      </w:r>
      <w:r>
        <w:rPr/>
        <w:t>, 373–397. https://doi.org/10.1146/annurev.ecolsys.36.102003.152622</w:t>
      </w:r>
    </w:p>
    <w:p>
      <w:pPr>
        <w:pStyle w:val="Bibliography1"/>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Bibliography1"/>
        <w:rPr/>
      </w:pPr>
      <w:r>
        <w:rPr/>
        <w:t xml:space="preserve">Haberkorn, A. (1970). Die Entwicklung von </w:t>
      </w:r>
      <w:r>
        <w:rPr>
          <w:i/>
        </w:rPr>
        <w:t xml:space="preserve">Eimeria falciformis </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Bibliography1"/>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Bibliography1"/>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rPr>
        <w:t>BioRxiv</w:t>
      </w:r>
      <w:r>
        <w:rPr/>
        <w:t xml:space="preserve">, 690487. </w:t>
      </w:r>
      <w:hyperlink r:id="rId17">
        <w:r>
          <w:rPr>
            <w:rStyle w:val="InternetLink"/>
          </w:rPr>
          <w:t>https://doi.org/10.1101/690487</w:t>
        </w:r>
      </w:hyperlink>
    </w:p>
    <w:p>
      <w:pPr>
        <w:pStyle w:val="Bibliography1"/>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rPr>
        <w:t>International Journal for Parasitology</w:t>
      </w:r>
      <w:r>
        <w:rPr>
          <w:iCs/>
        </w:rPr>
        <w:t xml:space="preserve"> 43(10): 805</w:t>
      </w:r>
      <w:r>
        <w:rPr/>
        <w:t>–</w:t>
      </w:r>
      <w:r>
        <w:rPr>
          <w:iCs/>
        </w:rPr>
        <w:t xml:space="preserve">817. </w:t>
      </w:r>
      <w:hyperlink r:id="rId18">
        <w:r>
          <w:rPr>
            <w:rStyle w:val="InternetLink"/>
            <w:iCs/>
          </w:rPr>
          <w:t>http://dx.doi.org/10.1016/j.ijpara.2013.04.007</w:t>
        </w:r>
      </w:hyperlink>
    </w:p>
    <w:p>
      <w:pPr>
        <w:pStyle w:val="Bibliography1"/>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Bibliography1"/>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Bibliography1"/>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Bibliography1"/>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6" w:name="_GoBack"/>
      <w:r>
        <w:rPr>
          <w:i/>
          <w:color w:val="auto"/>
          <w:u w:val="none"/>
        </w:rPr>
        <w:t>BioRxiv</w:t>
      </w:r>
      <w:bookmarkEnd w:id="16"/>
      <w:r>
        <w:rPr>
          <w:color w:val="auto"/>
          <w:u w:val="none"/>
        </w:rPr>
        <w:t>.</w:t>
        <w:tab/>
        <w:t xml:space="preserve"> </w:t>
      </w:r>
      <w:r>
        <w:rPr>
          <w:rStyle w:val="InternetLink"/>
          <w:color w:val="auto"/>
          <w:u w:val="none"/>
        </w:rPr>
        <w:t>http://dx.doi.org/10.1101/2019.12.23.887471</w:t>
      </w:r>
    </w:p>
    <w:p>
      <w:pPr>
        <w:pStyle w:val="Bibliography1"/>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Bibliography1"/>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Bibliography1"/>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Bibliography1"/>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Bibliography1"/>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Bibliography1"/>
        <w:rPr/>
      </w:pPr>
      <w:r>
        <w:rPr/>
        <w:t xml:space="preserve">R Development Core Team. (2018). </w:t>
      </w:r>
      <w:r>
        <w:rPr>
          <w:i/>
        </w:rPr>
        <w:t>R: A language and environment for   statistical computing. R Foundation for Statistical Computing, Vienna, Austria</w:t>
      </w:r>
      <w:r>
        <w:rPr/>
        <w:t>. http://www.R-project.org</w:t>
      </w:r>
    </w:p>
    <w:p>
      <w:pPr>
        <w:pStyle w:val="Bibliography1"/>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Bibliography1"/>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Bibliography1"/>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Bibliography1"/>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Bibliography1"/>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Bibliography1"/>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Bibliography1"/>
        <w:rPr/>
      </w:pPr>
      <w:r>
        <w:rPr/>
        <w:t xml:space="preserve">Sage, R. D., Heyneman, D., Lim, K.-C., &amp; Wilson, A. C. (1986). Wormy mice in a hybrid zone. </w:t>
      </w:r>
      <w:r>
        <w:rPr>
          <w:i/>
        </w:rPr>
        <w:t>Nature</w:t>
      </w:r>
      <w:r>
        <w:rPr/>
        <w:t xml:space="preserve">, </w:t>
      </w:r>
      <w:r>
        <w:rPr>
          <w:i/>
        </w:rPr>
        <w:t>324</w:t>
      </w:r>
      <w:r>
        <w:rPr/>
        <w:t>(6092), 60–63. https://doi.org/10.1038/324060a0</w:t>
      </w:r>
    </w:p>
    <w:p>
      <w:pPr>
        <w:pStyle w:val="Bibliography1"/>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Bibliography1"/>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Bibliography1"/>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Bibliography1"/>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Bibliography1"/>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Bibliography1"/>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Bibliography1"/>
        <w:rPr/>
      </w:pPr>
      <w:r>
        <w:rPr/>
        <w:t xml:space="preserve">Venables, W. N., &amp; Ripley, B. D. (2002). </w:t>
      </w:r>
      <w:r>
        <w:rPr>
          <w:i/>
        </w:rPr>
        <w:t>Modern Applied Statistics with S</w:t>
      </w:r>
      <w:r>
        <w:rPr/>
        <w:t xml:space="preserve"> (Fourth). Springer. http://www.stats.ox.ac.uk/pub/MASS4</w:t>
      </w:r>
    </w:p>
    <w:p>
      <w:pPr>
        <w:pStyle w:val="Bibliography1"/>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Bibliography1"/>
        <w:rPr/>
      </w:pPr>
      <w:r>
        <w:rPr/>
        <w:t xml:space="preserve">Wickham, H. (2016). </w:t>
      </w:r>
      <w:r>
        <w:rPr>
          <w:i/>
        </w:rPr>
        <w:t>ggplot2: Elegant Graphics for Data Analysis</w:t>
      </w:r>
      <w:r>
        <w:rPr/>
        <w:t>. Springer-Verlag, New York.</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17T14:56:3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Lead to?</w:t>
      </w:r>
    </w:p>
  </w:comment>
  <w:comment w:id="1" w:author="Jaroslav Piálek" w:date="2020-01-16T18:31:00Z" w:initials="JP">
    <w:p>
      <w:r>
        <w:rPr>
          <w:rFonts w:ascii="Liberation Serif" w:hAnsi="Liberation Serif" w:eastAsia="DejaVu Sans" w:cs="DejaVu Sans"/>
          <w:kern w:val="0"/>
          <w:lang w:val="en-US" w:eastAsia="en-US" w:bidi="en-US"/>
        </w:rPr>
        <w:t>Generally this para is difficult to follow for me. You start with mice, than you switch to costs of immune response, and finish with resistance only.</w:t>
      </w:r>
    </w:p>
    <w:p>
      <w:r>
        <w:rPr>
          <w:rFonts w:ascii="Liberation Serif" w:hAnsi="Liberation Serif" w:eastAsia="DejaVu Sans" w:cs="DejaVu Sans"/>
          <w:kern w:val="0"/>
          <w:lang w:val="en-US" w:eastAsia="en-US" w:bidi="en-US"/>
        </w:rPr>
        <w:t>I miss clear logics linking info in the first and 3</w:t>
      </w:r>
      <w:r>
        <w:rPr>
          <w:rFonts w:ascii="Liberation Serif" w:hAnsi="Liberation Serif" w:eastAsia="DejaVu Sans" w:cs="DejaVu Sans"/>
          <w:kern w:val="0"/>
          <w:vertAlign w:val="superscript"/>
          <w:lang w:val="en-US" w:eastAsia="en-US" w:bidi="en-US"/>
        </w:rPr>
        <w:t>rd</w:t>
      </w:r>
      <w:r>
        <w:rPr>
          <w:rFonts w:ascii="Liberation Serif" w:hAnsi="Liberation Serif" w:eastAsia="DejaVu Sans" w:cs="DejaVu Sans"/>
          <w:kern w:val="0"/>
          <w:lang w:val="en-US" w:eastAsia="en-US" w:bidi="en-US"/>
        </w:rPr>
        <w:t xml:space="preserve"> para. </w:t>
      </w:r>
    </w:p>
    <w:p>
      <w:r>
        <w:rPr>
          <w:rFonts w:ascii="Liberation Serif" w:hAnsi="Liberation Serif" w:eastAsia="DejaVu Sans" w:cs="DejaVu Sans"/>
          <w:kern w:val="0"/>
          <w:lang w:val="en-US" w:eastAsia="en-US" w:bidi="en-US"/>
        </w:rPr>
        <w:t xml:space="preserve">Something like </w:t>
      </w:r>
    </w:p>
    <w:p>
      <w:r>
        <w:rPr>
          <w:rFonts w:ascii="Liberation Serif" w:hAnsi="Liberation Serif" w:eastAsia="DejaVu Sans" w:cs="DejaVu Sans"/>
          <w:kern w:val="0"/>
          <w:lang w:bidi="en-US" w:val="en-US" w:eastAsia="en-US"/>
        </w:rPr>
        <w:t xml:space="preserve">Both resistance and tolerance might be shaped by co-evolutionary host-parasite history. When in isolation coevolving systems meet, the newly generated variation can result in novel interplay in immunological responses. For example, two European house mouse subspecies, whose genomes diverged some 0.5 mil ago, are known to harbor different lineages of </w:t>
      </w:r>
      <w:r>
        <w:rPr>
          <w:rFonts w:ascii="Liberation Serif" w:hAnsi="Liberation Serif" w:eastAsia="DejaVu Sans" w:cs="DejaVu Sans"/>
          <w:i/>
          <w:kern w:val="0"/>
          <w:lang w:bidi="en-US" w:val="en-US" w:eastAsia="en-US"/>
        </w:rPr>
        <w:t>Cryptosporidium tyzzeri</w:t>
      </w:r>
      <w:r>
        <w:rPr>
          <w:rFonts w:ascii="Liberation Serif" w:hAnsi="Liberation Serif" w:eastAsia="DejaVu Sans" w:cs="DejaVu Sans"/>
          <w:kern w:val="0"/>
          <w:lang w:bidi="en-US" w:val="en-US" w:eastAsia="en-US"/>
        </w:rPr>
        <w:t xml:space="preserve"> (Kváč et al. 2013). </w:t>
      </w:r>
      <w:r>
        <w:rPr>
          <w:rFonts w:ascii="Liberation Serif" w:hAnsi="Liberation Serif" w:eastAsia="DejaVu Sans" w:cs="DejaVu Sans"/>
          <w:bCs/>
          <w:color w:val="000000"/>
          <w:kern w:val="0"/>
          <w:sz w:val="24"/>
          <w:lang w:bidi="en-US" w:eastAsia="en-US" w:val="en-GB"/>
        </w:rPr>
        <w:t xml:space="preserve">Hybrids between two mouse subspecies </w:t>
      </w:r>
      <w:r>
        <w:rPr>
          <w:rFonts w:ascii="Liberation Serif" w:hAnsi="Liberation Serif" w:eastAsia="DejaVu Sans" w:cs="DejaVu Sans"/>
          <w:bCs/>
          <w:i/>
          <w:color w:val="000000"/>
          <w:kern w:val="0"/>
          <w:sz w:val="24"/>
          <w:lang w:bidi="en-US" w:eastAsia="en-US" w:val="en-GB"/>
        </w:rPr>
        <w:t xml:space="preserve">Mus musculus </w:t>
      </w:r>
      <w:r>
        <w:rPr>
          <w:rFonts w:ascii="Liberation Serif" w:hAnsi="Liberation Serif" w:eastAsia="DejaVu Sans" w:cs="DejaVu Sans"/>
          <w:bCs/>
          <w:i/>
          <w:iCs/>
          <w:color w:val="000000"/>
          <w:kern w:val="0"/>
          <w:sz w:val="24"/>
          <w:lang w:bidi="en-US" w:eastAsia="en-US" w:val="en-GB"/>
        </w:rPr>
        <w:t>muscu…</w:t>
      </w:r>
    </w:p>
  </w:comment>
  <w:comment w:id="2" w:author="Jaroslav Piálek" w:date="2020-01-16T18:45:00Z" w:initials="JP">
    <w:p>
      <w:r>
        <w:rPr>
          <w:rFonts w:ascii="Liberation Serif" w:hAnsi="Liberation Serif" w:eastAsia="DejaVu Sans" w:cs="DejaVu Sans"/>
          <w:kern w:val="0"/>
          <w:lang w:val="en-US" w:eastAsia="en-US" w:bidi="en-US"/>
        </w:rPr>
        <w:t>Did you study all protozoan parasites to know which of them was the most prevalent?</w:t>
      </w:r>
    </w:p>
  </w:comment>
  <w:comment w:id="3" w:author="Unknown Author" w:date="2020-01-07T19:55:00Z" w:initials="">
    <w:p>
      <w:r>
        <w:rPr>
          <w:rFonts w:ascii="Liberation Serif" w:hAnsi="Liberation Serif" w:eastAsia="DejaVu Sans" w:cs="DejaVu Sans"/>
          <w:kern w:val="0"/>
          <w:sz w:val="20"/>
          <w:lang w:val="en-US" w:eastAsia="en-US" w:bidi="en-US"/>
        </w:rPr>
        <w:t>They write it like that in the original article</w:t>
      </w:r>
    </w:p>
  </w:comment>
  <w:comment w:id="4" w:author="Unknown Author" w:date="2020-01-17T17:26:02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Change for OPG</w:t>
      </w:r>
    </w:p>
  </w:comment>
  <w:comment w:id="5" w:author="Unknown Author" w:date="2020-01-17T17:26:22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recalculate</w:t>
      </w:r>
    </w:p>
  </w:comment>
  <w:comment w:id="6" w:author="Jaroslav Piálek" w:date="2020-01-16T18:57:00Z" w:initials="JP">
    <w:p>
      <w:r>
        <w:rPr>
          <w:rFonts w:ascii="Liberation Serif" w:hAnsi="Liberation Serif" w:eastAsia="DejaVu Sans" w:cs="DejaVu Sans"/>
          <w:kern w:val="0"/>
          <w:lang w:val="en-US" w:eastAsia="en-US" w:bidi="en-US"/>
        </w:rPr>
        <w:t xml:space="preserve">It will be never 1 as 298496/300000 </w:t>
      </w:r>
      <w:r>
        <w:rPr>
          <w:rFonts w:ascii="Liberation Serif" w:hAnsi="Liberation Serif" w:eastAsia="DejaVu Sans" w:cs="DejaVu Sans"/>
          <w:kern w:val="0"/>
          <w:lang w:eastAsia="en-US" w:bidi="en-US" w:val="en-GB"/>
        </w:rPr>
        <w:t>&lt; 1</w:t>
      </w:r>
    </w:p>
  </w:comment>
  <w:comment w:id="7" w:author="Unknown Author" w:date="2020-01-17T17:26:59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correct</w:t>
      </w:r>
    </w:p>
  </w:comment>
  <w:comment w:id="8" w:author="Unknown Author" w:date="2020-01-17T17:29:1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w:t>
      </w:r>
    </w:p>
  </w:comment>
  <w:comment w:id="9" w:author="Unknown Author" w:date="2020-01-17T17:29:2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w:t>
      </w:r>
    </w:p>
  </w:comment>
  <w:comment w:id="10" w:author="Jaroslav Piálek" w:date="2020-01-16T18:58:00Z" w:initials="JP">
    <w:p>
      <w:r>
        <w:rPr>
          <w:rFonts w:ascii="Liberation Serif" w:hAnsi="Liberation Serif" w:eastAsia="DejaVu Sans" w:cs="DejaVu Sans"/>
          <w:kern w:val="0"/>
          <w:lang w:val="en-US" w:eastAsia="en-US" w:bidi="en-US"/>
        </w:rPr>
        <w:t>You detail mus strain, thet you go directly to general pattern. Nothing is noted on the Mmd mice</w:t>
      </w:r>
    </w:p>
  </w:comment>
  <w:comment w:id="11" w:author="Jaroslav Piálek" w:date="2020-01-16T19:00:00Z" w:initials="JP">
    <w:p>
      <w:r>
        <w:rPr>
          <w:rFonts w:ascii="Liberation Serif" w:hAnsi="Liberation Serif" w:eastAsia="DejaVu Sans" w:cs="DejaVu Sans"/>
          <w:kern w:val="0"/>
          <w:lang w:val="en-US" w:eastAsia="en-US" w:bidi="en-US"/>
        </w:rPr>
        <w:t>So far (I guess) the test significances were &lt; 0.01. Now their values are somehow higher, and I wander if you take care about corrections due to multiple testing (I don’t think all tests were derived from independent experiments.)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 w:name="Century Schoolbook">
    <w:charset w:val="01"/>
    <w:family w:val="roman"/>
    <w:pitch w:val="variable"/>
  </w:font>
  <w:font w:name="Times New Roman">
    <w:charset w:val="01"/>
    <w:family w:val="roman"/>
    <w:pitch w:val="variable"/>
  </w:font>
  <w:font w:name="DejaVu Sans Mono">
    <w:altName w:val="monospac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9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default="1">
    <w:name w:val="Default Paragraph Font"/>
    <w:uiPriority w:val="1"/>
    <w:semiHidden/>
    <w:unhideWhenUsed/>
    <w:qFormat/>
    <w:rPr/>
  </w:style>
  <w:style w:type="character" w:styleId="InternetLink">
    <w:name w:val="Internet Link"/>
    <w:rsid w:val="003a40f2"/>
    <w:rPr>
      <w:color w:val="3300CC"/>
      <w:u w:val="single"/>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rFonts w:ascii="Arial" w:hAnsi="Ari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7656e"/>
    <w:rPr>
      <w:rFonts w:ascii="Segoe UI" w:hAnsi="Segoe UI"/>
      <w:sz w:val="18"/>
      <w:szCs w:val="16"/>
    </w:rPr>
  </w:style>
  <w:style w:type="character" w:styleId="CommentSubjectChar" w:customStyle="1">
    <w:name w:val="Comment Subject Char"/>
    <w:basedOn w:val="CommentTextChar"/>
    <w:link w:val="CommentSubject"/>
    <w:uiPriority w:val="99"/>
    <w:semiHidden/>
    <w:qFormat/>
    <w:rsid w:val="00f7656e"/>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customStyle="1">
    <w:name w:val="Bibliography 1"/>
    <w:basedOn w:val="Index"/>
    <w:qFormat/>
    <w:pPr>
      <w:spacing w:lineRule="atLeast" w:line="480"/>
      <w:ind w:left="720" w:hanging="72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pPr>
      <w:spacing w:lineRule="auto" w:line="240"/>
    </w:pPr>
    <w:rPr>
      <w:sz w:val="20"/>
      <w:szCs w:val="18"/>
    </w:rPr>
  </w:style>
  <w:style w:type="paragraph" w:styleId="BalloonText">
    <w:name w:val="Balloon Text"/>
    <w:basedOn w:val="Normal"/>
    <w:link w:val="BalloonTextChar"/>
    <w:uiPriority w:val="99"/>
    <w:semiHidden/>
    <w:unhideWhenUsed/>
    <w:qFormat/>
    <w:rsid w:val="00f7656e"/>
    <w:pPr>
      <w:spacing w:lineRule="auto" w:line="240"/>
    </w:pPr>
    <w:rPr>
      <w:rFonts w:ascii="Segoe UI" w:hAnsi="Segoe UI"/>
      <w:sz w:val="18"/>
      <w:szCs w:val="16"/>
    </w:rPr>
  </w:style>
  <w:style w:type="paragraph" w:styleId="Annotationsubject">
    <w:name w:val="annotation subject"/>
    <w:basedOn w:val="Annotationtext"/>
    <w:next w:val="Annotationtext"/>
    <w:link w:val="CommentSubjectChar"/>
    <w:uiPriority w:val="99"/>
    <w:semiHidden/>
    <w:unhideWhenUsed/>
    <w:qFormat/>
    <w:rsid w:val="00f7656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https://doi.org/10.1101/690487" TargetMode="External"/><Relationship Id="rId18" Type="http://schemas.openxmlformats.org/officeDocument/2006/relationships/hyperlink" Target="http://dx.doi.org/10.1016/j.ijpara.2013.04.007" TargetMode="External"/><Relationship Id="rId1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Application>LibreOffice/6.1.5.2$Linux_X86_64 LibreOffice_project/10$Build-2</Application>
  <Pages>32</Pages>
  <Words>6681</Words>
  <Characters>37709</Characters>
  <CharactersWithSpaces>44242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2020-01-20T12:12:38Z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