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11340"/>
          <w:tab w:val="left" w:pos="1088" w:leader="none"/>
        </w:tabs>
        <w:jc w:val="both"/>
        <w:rPr>
          <w:bCs/>
        </w:rPr>
      </w:pPr>
      <w:r>
        <w:rPr>
          <w:bCs/>
        </w:rPr>
        <w:t>Introduction</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rPr>
          <w:color w:val="000000"/>
          <w:lang w:val="en-GB"/>
        </w:rPr>
      </w:pPr>
      <w:r>
        <w:rPr>
          <w:color w:val="000000"/>
          <w:lang w:val="en-GB"/>
        </w:rPr>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dataset and a conservative dataset in which cross-contaminated animals and animals treated by anthelminthic are removed (see below).</w:t>
      </w:r>
    </w:p>
    <w:p>
      <w:pPr>
        <w:pStyle w:val="Heading2"/>
        <w:jc w:val="both"/>
        <w:rPr/>
      </w:pPr>
      <w:bookmarkStart w:id="5" w:name="_1t3h5sf"/>
      <w:bookmarkEnd w:id="5"/>
      <w:r>
        <w:rPr/>
        <w:t>Choice of measurements for resistance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As a proxy we used the </w:t>
      </w:r>
      <w:r>
        <w:rPr>
          <w:color w:val="000000"/>
          <w:highlight w:val="yellow"/>
        </w:rPr>
        <w:t>(inverse of)</w:t>
      </w:r>
      <w:r>
        <w:rPr>
          <w:color w:val="000000"/>
        </w:rPr>
        <w:t xml:space="preserve"> number of oocysts per gram of feces (OPG) at the day of maximal shedding. This measure is tightly correlated with the sum of oocysts shed throughout the experiment (Pearson correlation coefficient 0.91). </w:t>
      </w:r>
    </w:p>
    <w:p>
      <w:pPr>
        <w:pStyle w:val="Normal"/>
        <w:rPr/>
      </w:pPr>
      <w:r>
        <w:rPr/>
        <w:t xml:space="preserve">Tolerance is usually defined as the slope of the regression of host fitness, approximated by health condition, on infection intensity (Råberg, 2014). </w:t>
      </w: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Normal"/>
        <w:rPr>
          <w:rFonts w:ascii="Arial" w:hAnsi="Arial"/>
          <w:i w:val="false"/>
          <w:i w:val="false"/>
          <w:iCs w:val="false"/>
          <w:highlight w:val="yellow"/>
        </w:rPr>
      </w:pPr>
      <w:commentRangeStart w:id="1"/>
      <w:r>
        <w:rPr>
          <w:rFonts w:eastAsia="Century Schoolbook" w:cs="Century Schoolbook"/>
          <w:i w:val="false"/>
          <w:iCs w:val="false"/>
          <w:color w:val="000000"/>
          <w:highlight w:val="yellow"/>
        </w:rPr>
        <w:t>Tolerance at the genotype level fig 5</w:t>
      </w:r>
      <w:commentRangeEnd w:id="1"/>
      <w:r>
        <w:commentReference w:id="1"/>
      </w:r>
      <w:r>
        <w:rPr>
          <w:rFonts w:eastAsia="Century Schoolbook" w:cs="Century Schoolbook"/>
          <w:i w:val="false"/>
          <w:iCs w:val="false"/>
          <w:color w:val="000000"/>
          <w:highlight w:val="yellow"/>
        </w:rPr>
      </w:r>
    </w:p>
    <w:p>
      <w:pPr>
        <w:pStyle w:val="Normal"/>
        <w:rPr>
          <w:rFonts w:ascii="Century Schoolbook" w:hAnsi="Century Schoolbook" w:eastAsia="Century Schoolbook" w:cs="Century Schoolbook"/>
          <w:i/>
          <w:i/>
          <w:color w:val="000000"/>
        </w:rPr>
      </w:pPr>
      <w:r>
        <w:rPr>
          <w:rFonts w:eastAsia="Century Schoolbook" w:cs="Century Schoolbook" w:ascii="Century Schoolbook" w:hAnsi="Century Schoolbook"/>
          <w:i/>
          <w:color w:val="000000"/>
        </w:rPr>
      </w:r>
    </w:p>
    <w:p>
      <w:pPr>
        <w:pStyle w:val="Heading2"/>
        <w:jc w:val="both"/>
        <w:rPr>
          <w:sz w:val="24"/>
        </w:rPr>
      </w:pPr>
      <w:bookmarkStart w:id="6" w:name="_mpf3d7k8xfch"/>
      <w:bookmarkEnd w:id="6"/>
      <w:r>
        <w:rPr>
          <w:sz w:val="24"/>
        </w:rPr>
        <w:t>Statistical analyses</w:t>
      </w:r>
    </w:p>
    <w:p>
      <w:pPr>
        <w:pStyle w:val="Normal"/>
        <w:rPr/>
      </w:pPr>
      <w:r>
        <w:rPr>
          <w:color w:val="000000"/>
        </w:rPr>
        <w:t xml:space="preserve">Appropriate distribution for </w:t>
      </w:r>
      <w:r>
        <w:rPr>
          <w:rFonts w:eastAsia="Century Schoolbook" w:cs="Century Schoolbook"/>
          <w:color w:val="000000"/>
        </w:rPr>
        <w:t xml:space="preserve">maximum number of oocysts per </w:t>
      </w:r>
      <w:r>
        <w:rPr>
          <w:rFonts w:eastAsia="Century Schoolbook" w:cs="Century Schoolbook"/>
        </w:rPr>
        <w:t xml:space="preserve">gram of feces (distribution: </w:t>
      </w:r>
      <w:r>
        <w:rPr>
          <w:rFonts w:eastAsia="Century Schoolbook" w:cs="Century Schoolbook"/>
          <w:color w:val="000000"/>
        </w:rPr>
        <w:t xml:space="preserve">negative binomia) </w:t>
      </w:r>
      <w:r>
        <w:rPr>
          <w:rFonts w:eastAsia="Century Schoolbook" w:cs="Century Schoolbook"/>
        </w:rPr>
        <w:t>and</w:t>
      </w:r>
      <w:r>
        <w:rPr>
          <w:color w:val="000000"/>
        </w:rPr>
        <w:t xml:space="preserve"> maximum weight loss relative to day 0 (distribution: Weibull) were selected based on log likelihood and AIC criteria</w:t>
      </w:r>
      <w:r>
        <w:rPr>
          <w:rFonts w:ascii="Times New Roman" w:hAnsi="Times New Roman"/>
          <w:color w:val="000000"/>
        </w:rPr>
        <w:t xml:space="preserve"> </w:t>
      </w:r>
      <w:r>
        <w:rPr>
          <w:color w:val="000000"/>
        </w:rPr>
        <w:t>and by comparing goodness-of-fits plots (density, CDF, Q-Q, P-P plots) between usual distributions (R packages MASS (Venables &amp; Ripley, 2002) and fitdistrplus (Delignette-Muller &amp; Dutang, 2015)). For modelling the maximum weight loss relative to day 0, we added 0.01 to the raw value as the Weibull distribution regression requires positive values.</w:t>
      </w:r>
    </w:p>
    <w:p>
      <w:pPr>
        <w:pStyle w:val="Normal"/>
        <w:rPr>
          <w:highlight w:val="yellow"/>
        </w:rPr>
      </w:pPr>
      <w:r>
        <w:rPr>
          <w:color w:val="000000"/>
          <w:highlight w:val="yellow"/>
        </w:rPr>
        <w:t>FIRST</w:t>
      </w:r>
    </w:p>
    <w:p>
      <w:pPr>
        <w:pStyle w:val="Normal"/>
        <w:rPr/>
      </w:pPr>
      <w:r>
        <w:rPr>
          <w:color w:val="000000"/>
        </w:rPr>
        <w:t xml:space="preserve">We tested the effects of mouse subspecies (Mmd or Mmm), </w:t>
      </w:r>
      <w:r>
        <w:rPr>
          <w:i/>
          <w:color w:val="000000"/>
        </w:rPr>
        <w:t xml:space="preserve">Eimeria </w:t>
      </w:r>
      <w:r>
        <w:rPr>
          <w:color w:val="000000"/>
        </w:rPr>
        <w:t>species (</w:t>
      </w:r>
      <w:r>
        <w:rPr>
          <w:i/>
          <w:color w:val="000000"/>
        </w:rPr>
        <w:t>E. ferrisi</w:t>
      </w:r>
      <w:r>
        <w:rPr>
          <w:color w:val="000000"/>
        </w:rPr>
        <w:t xml:space="preserve"> or </w:t>
      </w:r>
      <w:r>
        <w:rPr>
          <w:i/>
          <w:color w:val="000000"/>
        </w:rPr>
        <w:t>E. falciformis</w:t>
      </w:r>
      <w:r>
        <w:rPr>
          <w:color w:val="000000"/>
        </w:rPr>
        <w:t xml:space="preserve">) and their interaction on our two response variables using (generalised) linear models. </w:t>
      </w:r>
      <w:commentRangeStart w:id="2"/>
      <w:r>
        <w:rPr>
          <w:color w:val="000000"/>
          <w:highlight w:val="yellow"/>
        </w:rPr>
        <w:t xml:space="preserve">To assess the stability of our results across mouse strains and </w:t>
      </w:r>
      <w:r>
        <w:rPr>
          <w:i/>
          <w:color w:val="000000"/>
          <w:highlight w:val="yellow"/>
        </w:rPr>
        <w:t xml:space="preserve">Eimeria </w:t>
      </w:r>
      <w:r>
        <w:rPr>
          <w:color w:val="000000"/>
          <w:highlight w:val="yellow"/>
        </w:rPr>
        <w:t>isolates</w:t>
      </w:r>
      <w:r>
        <w:rPr>
          <w:color w:val="000000"/>
          <w:highlight w:val="yellow"/>
        </w:rPr>
      </w:r>
      <w:commentRangeEnd w:id="2"/>
      <w:r>
        <w:commentReference w:id="2"/>
      </w:r>
      <w:r>
        <w:rPr>
          <w:color w:val="000000"/>
        </w:rPr>
        <w:t xml:space="preserve">, we also tested the effects of mouse strain (N=4), parasite isolate (N=3) and their interaction separately using the same models. To test the significance of the marginal contribution to each parameter to the full model, each parameter (mouse subspecies, </w:t>
      </w:r>
      <w:r>
        <w:rPr>
          <w:i/>
          <w:color w:val="000000"/>
        </w:rPr>
        <w:t xml:space="preserve">Eimeria </w:t>
      </w:r>
      <w:r>
        <w:rPr>
          <w:color w:val="000000"/>
        </w:rPr>
        <w:t xml:space="preserve">species, and their interaction in the first case; mouse strain, </w:t>
      </w:r>
      <w:r>
        <w:rPr>
          <w:i/>
          <w:color w:val="000000"/>
        </w:rPr>
        <w:t xml:space="preserve">Eimeria </w:t>
      </w:r>
      <w:r>
        <w:rPr>
          <w:color w:val="000000"/>
        </w:rPr>
        <w:t>isolate, and their interaction in the second case) was removed from the full model, and the difference between full model and sub-model was assessed using likelihood ratio tests (G). Post-hoc multiple comparison tests (Tukey Multiple Comparisons of Means) were then performed to test the significant difference of each host-parasite combination against all others in the most detailed model with the mouse strains and the parasite isolates as predictors.</w:t>
      </w:r>
    </w:p>
    <w:p>
      <w:pPr>
        <w:pStyle w:val="Normal"/>
        <w:rPr>
          <w:highlight w:val="yellow"/>
        </w:rPr>
      </w:pPr>
      <w:r>
        <w:rPr>
          <w:color w:val="000000"/>
          <w:highlight w:val="yellow"/>
        </w:rPr>
        <w:t>THEN: DVP</w:t>
      </w:r>
    </w:p>
    <w:p>
      <w:pPr>
        <w:pStyle w:val="Normal"/>
        <w:rPr/>
      </w:pPr>
      <w:r>
        <w:rPr>
          <w:strike/>
        </w:rPr>
        <w:t xml:space="preserve">We then compared the coupling between proxies of resistance and tolerance between mouse subspecies. Using the resistance index and tolerance index defined above, we fitted a linear model to explain the variation of tolerance with resistance, </w:t>
      </w:r>
      <w:r>
        <w:rPr>
          <w:i/>
          <w:strike/>
        </w:rPr>
        <w:t xml:space="preserve">Eimeria </w:t>
      </w:r>
      <w:r>
        <w:rPr>
          <w:strike/>
        </w:rPr>
        <w:t>species and their interaction</w:t>
      </w:r>
      <w:r>
        <w:rPr/>
        <w:t>.</w:t>
      </w:r>
    </w:p>
    <w:p>
      <w:pPr>
        <w:pStyle w:val="Normal"/>
        <w:rPr/>
      </w:pPr>
      <w:r>
        <w:rPr>
          <w:color w:val="000000"/>
          <w:lang w:val="en-GB"/>
        </w:rPr>
        <w:t xml:space="preserve">To verify the absence of impact of both previous contamination by </w:t>
      </w:r>
      <w:r>
        <w:rPr>
          <w:i/>
          <w:iCs/>
          <w:color w:val="000000"/>
          <w:lang w:val="en-GB"/>
        </w:rPr>
        <w:t xml:space="preserve">Eimeria </w:t>
      </w:r>
      <w:r>
        <w:rPr>
          <w:color w:val="000000"/>
          <w:lang w:val="en-GB"/>
        </w:rPr>
        <w:t xml:space="preserve">and anthelminthic treatment on our results, we performed different analyses (modeling of resistance, </w:t>
      </w:r>
      <w:commentRangeStart w:id="3"/>
      <w:r>
        <w:rPr>
          <w:color w:val="000000"/>
          <w:lang w:val="en-GB"/>
        </w:rPr>
        <w:t xml:space="preserve">impact on health </w:t>
      </w:r>
      <w:r>
        <w:rPr>
          <w:color w:val="000000"/>
          <w:lang w:val="en-GB"/>
        </w:rPr>
      </w:r>
      <w:commentRangeEnd w:id="3"/>
      <w:r>
        <w:commentReference w:id="3"/>
      </w:r>
      <w:r>
        <w:rPr>
          <w:color w:val="000000"/>
          <w:lang w:val="en-GB"/>
        </w:rPr>
        <w:t>at the host subspecies/parasite species level, as well as linear regression of the tolerance index with the resistance index, see below) on a dataset excluding the 22 mice treated by anthelminthics and the 9 mice showing contaminant infections. The results obtained in this conservative dataset are congruent with the results revealed in all mice, thus we consid</w:t>
      </w:r>
      <w:r>
        <w:rPr>
          <w:lang w:val="en-GB"/>
        </w:rPr>
        <w:t xml:space="preserve">er the influence of both factors negligible. (see </w:t>
      </w:r>
      <w:r>
        <w:rPr>
          <w:b/>
          <w:lang w:val="en-GB"/>
        </w:rPr>
        <w:t>Supplementary Material S</w:t>
      </w:r>
      <w:commentRangeStart w:id="4"/>
      <w:r>
        <w:rPr>
          <w:b/>
          <w:lang w:val="en-GB"/>
        </w:rPr>
        <w:t>1</w:t>
      </w:r>
      <w:r>
        <w:rPr>
          <w:b/>
          <w:lang w:val="en-GB"/>
        </w:rPr>
      </w:r>
      <w:commentRangeEnd w:id="4"/>
      <w:r>
        <w:commentReference w:id="4"/>
      </w:r>
      <w:r>
        <w:rPr>
          <w:lang w:val="en-GB"/>
        </w:rPr>
        <w:t>).</w:t>
      </w:r>
    </w:p>
    <w:p>
      <w:pPr>
        <w:pStyle w:val="Normal"/>
        <w:rPr>
          <w:color w:val="000000"/>
        </w:rPr>
      </w:pPr>
      <w:r>
        <w:rPr>
          <w:color w:val="000000"/>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rPr>
        <w:t>All codes and data used for this article can be found at:</w:t>
        <w:tab/>
        <w:t xml:space="preserve"> https://github.com/alicebalard/Article_RelatedParasitesResTol</w:t>
      </w:r>
    </w:p>
    <w:p>
      <w:pPr>
        <w:pStyle w:val="Heading1"/>
        <w:jc w:val="both"/>
        <w:rPr/>
      </w:pPr>
      <w:bookmarkStart w:id="7" w:name="_2s8eyo1"/>
      <w:bookmarkEnd w:id="7"/>
      <w:r>
        <w:rPr/>
        <w:t>Results</w:t>
      </w:r>
    </w:p>
    <w:p>
      <w:pPr>
        <w:pStyle w:val="Heading2"/>
        <w:jc w:val="both"/>
        <w:rPr/>
      </w:pPr>
      <w:bookmarkStart w:id="8" w:name="_17dp8vu"/>
      <w:bookmarkEnd w:id="8"/>
      <w:r>
        <w:rPr/>
        <w:t>General parasitology</w:t>
      </w:r>
    </w:p>
    <w:p>
      <w:pPr>
        <w:pStyle w:val="Normal"/>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sd=0.73 and 0.61, respectively). The median day of maximum weight loss was 5 dpi for both isolates (sd=2.1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Normal"/>
        <w:rPr/>
      </w:pPr>
      <w:r>
        <w:rPr/>
      </w:r>
    </w:p>
    <w:p>
      <w:pPr>
        <w:pStyle w:val="Normal"/>
        <w:rPr>
          <w:highlight w:val="yellow"/>
        </w:rPr>
      </w:pPr>
      <w:r>
        <w:rPr>
          <w:highlight w:val="yellow"/>
        </w:rPr>
        <w:t>ALL DOWN THERE: add strains/isolate level for Eferrisi</w:t>
      </w:r>
    </w:p>
    <w:p>
      <w:pPr>
        <w:pStyle w:val="Heading2"/>
        <w:jc w:val="both"/>
        <w:rPr>
          <w:i/>
          <w:i/>
          <w:u w:val="none"/>
        </w:rPr>
      </w:pPr>
      <w:r>
        <w:rPr>
          <w:i/>
          <w:sz w:val="28"/>
          <w:szCs w:val="28"/>
        </w:rPr>
        <w:t>M.</w:t>
      </w:r>
      <w:r>
        <w:rPr>
          <w:i/>
          <w:color w:val="000000"/>
          <w:sz w:val="28"/>
          <w:szCs w:val="28"/>
        </w:rPr>
        <w:t> </w:t>
      </w:r>
      <w:r>
        <w:rPr>
          <w:i/>
          <w:sz w:val="28"/>
          <w:szCs w:val="28"/>
        </w:rPr>
        <w:t>m.</w:t>
      </w:r>
      <w:r>
        <w:rPr>
          <w:i/>
          <w:color w:val="000000"/>
          <w:sz w:val="28"/>
          <w:szCs w:val="28"/>
        </w:rPr>
        <w:t xml:space="preserve"> domesticus </w:t>
      </w:r>
      <w:r>
        <w:rPr>
          <w:i w:val="false"/>
          <w:iCs w:val="false"/>
          <w:color w:val="000000"/>
          <w:sz w:val="28"/>
          <w:szCs w:val="28"/>
        </w:rPr>
        <w:t>is less resistant</w:t>
      </w:r>
      <w:r>
        <w:rPr>
          <w:i/>
          <w:color w:val="000000"/>
          <w:sz w:val="28"/>
          <w:szCs w:val="28"/>
        </w:rPr>
        <w:t xml:space="preserve"> </w:t>
      </w:r>
      <w:r>
        <w:rPr>
          <w:sz w:val="28"/>
          <w:szCs w:val="28"/>
        </w:rPr>
        <w:t xml:space="preserve">to </w:t>
      </w:r>
      <w:r>
        <w:rPr>
          <w:i/>
          <w:sz w:val="28"/>
          <w:szCs w:val="28"/>
        </w:rPr>
        <w:t>E.</w:t>
      </w:r>
      <w:r>
        <w:rPr>
          <w:i/>
          <w:color w:val="000000"/>
          <w:sz w:val="28"/>
          <w:szCs w:val="28"/>
        </w:rPr>
        <w:t> </w:t>
      </w:r>
      <w:r>
        <w:rPr>
          <w:i/>
          <w:sz w:val="28"/>
          <w:szCs w:val="28"/>
        </w:rPr>
        <w:t>falciformis</w:t>
      </w:r>
      <w:r>
        <w:rPr>
          <w:sz w:val="28"/>
          <w:szCs w:val="28"/>
        </w:rPr>
        <w:t xml:space="preserve"> than to </w:t>
      </w:r>
      <w:r>
        <w:rPr>
          <w:i/>
          <w:sz w:val="28"/>
          <w:szCs w:val="28"/>
        </w:rPr>
        <w:t>E.</w:t>
      </w:r>
      <w:r>
        <w:rPr>
          <w:i/>
          <w:color w:val="000000"/>
          <w:sz w:val="28"/>
          <w:szCs w:val="28"/>
        </w:rPr>
        <w:t> </w:t>
      </w:r>
      <w:r>
        <w:rPr>
          <w:i/>
          <w:sz w:val="28"/>
          <w:szCs w:val="28"/>
        </w:rPr>
        <w:t>ferrisi</w:t>
      </w:r>
    </w:p>
    <w:p>
      <w:pPr>
        <w:pStyle w:val="Normal"/>
        <w:rPr/>
      </w:pPr>
      <w:r>
        <w:rPr>
          <w:color w:val="000000"/>
        </w:rPr>
        <w:t>T</w:t>
      </w:r>
      <w:r>
        <w:rPr>
          <w:color w:val="000000"/>
          <w:sz w:val="24"/>
          <w:szCs w:val="24"/>
        </w:rPr>
        <w:t xml:space="preserve">o establish differences between the two house mouse subspecies and between the parasite species, we analysed the </w:t>
      </w:r>
      <w:r>
        <w:rPr>
          <w:sz w:val="24"/>
          <w:szCs w:val="24"/>
        </w:rPr>
        <w:t xml:space="preserve">maximum number of oocysts per gram of feces (OPG) </w:t>
      </w:r>
      <w:r>
        <w:rPr>
          <w:color w:val="000000"/>
          <w:sz w:val="24"/>
          <w:szCs w:val="24"/>
        </w:rPr>
        <w:t xml:space="preserve">as a measure of resistance after infection with both </w:t>
      </w:r>
      <w:r>
        <w:rPr>
          <w:i/>
          <w:color w:val="000000"/>
          <w:sz w:val="24"/>
          <w:szCs w:val="24"/>
        </w:rPr>
        <w:t xml:space="preserve">Eimeria </w:t>
      </w:r>
      <w:r>
        <w:rPr>
          <w:color w:val="000000"/>
          <w:sz w:val="24"/>
          <w:szCs w:val="24"/>
        </w:rPr>
        <w:t xml:space="preserve">species on the 99 mice alive by the time of median peak shedding. We found statistically significant effects of parasite species (LRT: G = 18.9, df = 2, P &lt; 0.001), mouse subspecies (LRT: G = 16.2, df = 2, P &lt; 0.001) as well as an interaction between parasite species and mouse subspecies (LRT: G = 10.2, df = 1, P &lt; 0.01). Post-hoc multiple comparison tests showed than the subspecies Mmd shed more OPG at the peak of shedding when infected with </w:t>
      </w:r>
      <w:r>
        <w:rPr>
          <w:i/>
          <w:color w:val="000000"/>
          <w:sz w:val="24"/>
          <w:szCs w:val="24"/>
        </w:rPr>
        <w:t>E. falciformis</w:t>
      </w:r>
      <w:r>
        <w:rPr>
          <w:color w:val="000000"/>
          <w:sz w:val="24"/>
          <w:szCs w:val="24"/>
        </w:rPr>
        <w:t xml:space="preserve"> than with </w:t>
      </w:r>
      <w:r>
        <w:rPr>
          <w:i/>
          <w:color w:val="000000"/>
          <w:sz w:val="24"/>
          <w:szCs w:val="24"/>
        </w:rPr>
        <w:t>E. ferrisi</w:t>
      </w:r>
      <w:r>
        <w:rPr>
          <w:color w:val="000000"/>
          <w:sz w:val="24"/>
          <w:szCs w:val="24"/>
        </w:rPr>
        <w:t xml:space="preserve">. Moreover, the Mmm subspecies shed more OPG at the peak of shedding than the Mmd subspecies when infected with </w:t>
      </w:r>
      <w:r>
        <w:rPr>
          <w:i/>
          <w:color w:val="000000"/>
          <w:sz w:val="24"/>
          <w:szCs w:val="24"/>
        </w:rPr>
        <w:t>E. ferrisi</w:t>
      </w:r>
      <w:r>
        <w:rPr>
          <w:color w:val="000000"/>
          <w:sz w:val="24"/>
          <w:szCs w:val="24"/>
        </w:rPr>
        <w:t xml:space="preserve"> (</w:t>
      </w:r>
      <w:r>
        <w:rPr>
          <w:b/>
          <w:bCs/>
          <w:color w:val="000000"/>
          <w:sz w:val="24"/>
          <w:szCs w:val="24"/>
        </w:rPr>
        <w:t xml:space="preserve">Figure 3A; </w:t>
      </w:r>
      <w:bookmarkStart w:id="9" w:name="__DdeLink__4137_1213221753"/>
      <w:r>
        <w:rPr>
          <w:b/>
          <w:bCs/>
          <w:color w:val="000000"/>
          <w:sz w:val="24"/>
          <w:szCs w:val="24"/>
        </w:rPr>
        <w:t>Supplementary Table S1</w:t>
      </w:r>
      <w:bookmarkEnd w:id="9"/>
      <w:r>
        <w:rPr>
          <w:color w:val="000000"/>
          <w:sz w:val="24"/>
          <w:szCs w:val="24"/>
        </w:rPr>
        <w:t xml:space="preserve">). </w:t>
      </w:r>
    </w:p>
    <w:p>
      <w:pPr>
        <w:pStyle w:val="Normal"/>
        <w:rPr>
          <w:rFonts w:ascii="Arial" w:hAnsi="Arial"/>
          <w:sz w:val="24"/>
          <w:szCs w:val="24"/>
        </w:rPr>
      </w:pPr>
      <w:r>
        <w:rPr>
          <w:color w:val="000000"/>
          <w:sz w:val="24"/>
          <w:szCs w:val="24"/>
        </w:rPr>
        <w:t xml:space="preserve">We then tested the influence of mouse strain and parasite isolate on </w:t>
      </w:r>
      <w:r>
        <w:rPr>
          <w:sz w:val="24"/>
          <w:szCs w:val="24"/>
        </w:rPr>
        <w:t>maximum number of OPG</w:t>
      </w:r>
      <w:r>
        <w:rPr>
          <w:color w:val="000000"/>
          <w:sz w:val="24"/>
          <w:szCs w:val="24"/>
        </w:rPr>
        <w:t xml:space="preserve">. We found statistically significant effects of parasite isolate (LRT: G = 35.5, df = 8, P &lt; 0.001), mouse strain (LRT: G = 36.3, df = 9, P &lt; 0.001) as well as an interaction between parasite isolate and mouse strain (LRT: G = 21.8, df = 6, P &lt; 0.01). </w:t>
      </w:r>
    </w:p>
    <w:p>
      <w:pPr>
        <w:pStyle w:val="Normal"/>
        <w:rPr>
          <w:rFonts w:ascii="Arial" w:hAnsi="Arial"/>
          <w:sz w:val="24"/>
          <w:szCs w:val="24"/>
        </w:rPr>
      </w:pPr>
      <w:r>
        <w:rPr>
          <w:color w:val="000000"/>
          <w:sz w:val="24"/>
          <w:szCs w:val="24"/>
        </w:rPr>
        <w:t>Post-hoc multiple comparison tests showed that STRA (Mmd strain) shed less OPG when infected with Brandenburg139 (</w:t>
      </w:r>
      <w:r>
        <w:rPr>
          <w:i/>
          <w:color w:val="000000"/>
          <w:sz w:val="24"/>
          <w:szCs w:val="24"/>
        </w:rPr>
        <w:t>E. ferrisi</w:t>
      </w:r>
      <w:r>
        <w:rPr>
          <w:color w:val="000000"/>
          <w:sz w:val="24"/>
          <w:szCs w:val="24"/>
        </w:rPr>
        <w:t xml:space="preserve"> isolate) than when infected with Brandenburg88 (</w:t>
      </w:r>
      <w:r>
        <w:rPr>
          <w:i/>
          <w:color w:val="000000"/>
          <w:sz w:val="24"/>
          <w:szCs w:val="24"/>
        </w:rPr>
        <w:t>E. falciformis</w:t>
      </w:r>
      <w:r>
        <w:rPr>
          <w:color w:val="000000"/>
          <w:sz w:val="24"/>
          <w:szCs w:val="24"/>
        </w:rPr>
        <w:t xml:space="preserve"> isolate), and PWD (Mmm strain) shed more OPG when infected with Brandenburg64 (</w:t>
      </w:r>
      <w:r>
        <w:rPr>
          <w:i/>
          <w:color w:val="000000"/>
          <w:sz w:val="24"/>
          <w:szCs w:val="24"/>
        </w:rPr>
        <w:t>E. ferrisi</w:t>
      </w:r>
      <w:r>
        <w:rPr>
          <w:color w:val="000000"/>
          <w:sz w:val="24"/>
          <w:szCs w:val="24"/>
        </w:rPr>
        <w:t xml:space="preserve"> isolate) than when infected with Brandenburg88 (</w:t>
      </w:r>
      <w:r>
        <w:rPr>
          <w:i/>
          <w:color w:val="000000"/>
          <w:sz w:val="24"/>
          <w:szCs w:val="24"/>
        </w:rPr>
        <w:t>E. falciformis</w:t>
      </w:r>
      <w:r>
        <w:rPr>
          <w:color w:val="000000"/>
          <w:sz w:val="24"/>
          <w:szCs w:val="24"/>
        </w:rPr>
        <w:t xml:space="preserve"> isolate). Moreover, PWD (Mmm subspecies) shed more OPG at the peak of shedding than STRA (Mmd subspecies) when infected with Brandenburg88 (</w:t>
      </w:r>
      <w:r>
        <w:rPr>
          <w:i/>
          <w:color w:val="000000"/>
          <w:sz w:val="24"/>
          <w:szCs w:val="24"/>
        </w:rPr>
        <w:t>E. falciformis</w:t>
      </w:r>
      <w:r>
        <w:rPr>
          <w:color w:val="000000"/>
          <w:sz w:val="24"/>
          <w:szCs w:val="24"/>
        </w:rPr>
        <w:t xml:space="preserve"> isolate); when infected with Brandenburg64 (</w:t>
      </w:r>
      <w:r>
        <w:rPr>
          <w:i/>
          <w:color w:val="000000"/>
          <w:sz w:val="24"/>
          <w:szCs w:val="24"/>
        </w:rPr>
        <w:t>E. ferrisi</w:t>
      </w:r>
      <w:r>
        <w:rPr>
          <w:color w:val="000000"/>
          <w:sz w:val="24"/>
          <w:szCs w:val="24"/>
        </w:rPr>
        <w:t xml:space="preserve"> isolate), SCHUNT (Mmd subspecies) shed more OPG at the peak of shedding than both Mmm subspecies, PWD and BUSNA.</w:t>
      </w:r>
    </w:p>
    <w:p>
      <w:pPr>
        <w:pStyle w:val="Normal"/>
        <w:rPr/>
      </w:pPr>
      <w:r>
        <w:rPr>
          <w:color w:val="000000"/>
          <w:sz w:val="24"/>
          <w:szCs w:val="24"/>
        </w:rPr>
        <w:t>We found no significant difference between the strains of the same subspecies within a given parasite species infection, nor between the isolates of the same species within a given mouse strain (</w:t>
      </w:r>
      <w:r>
        <w:rPr>
          <w:b/>
          <w:sz w:val="24"/>
          <w:szCs w:val="24"/>
        </w:rPr>
        <w:t xml:space="preserve">Figure 4A; </w:t>
      </w:r>
      <w:r>
        <w:rPr>
          <w:b/>
          <w:bCs/>
          <w:color w:val="000000"/>
          <w:sz w:val="24"/>
          <w:szCs w:val="24"/>
        </w:rPr>
        <w:t>Supplementary Table S2</w:t>
      </w:r>
      <w:r>
        <w:rPr>
          <w:sz w:val="24"/>
          <w:szCs w:val="24"/>
        </w:rPr>
        <w:t>).</w:t>
      </w:r>
    </w:p>
    <w:p>
      <w:pPr>
        <w:pStyle w:val="Heading2"/>
        <w:jc w:val="both"/>
        <w:rPr/>
      </w:pPr>
      <w:r>
        <w:rPr/>
        <w:t xml:space="preserve">Health of </w:t>
      </w:r>
      <w:r>
        <w:rPr>
          <w:i/>
          <w:iCs/>
        </w:rPr>
        <w:t>M. m. musculus</w:t>
      </w:r>
      <w:r>
        <w:rPr/>
        <w:t xml:space="preserve"> is more affected by </w:t>
      </w:r>
      <w:r>
        <w:rPr>
          <w:i/>
          <w:iCs/>
        </w:rPr>
        <w:t>E. falciformis</w:t>
      </w:r>
      <w:r>
        <w:rPr/>
        <w:t xml:space="preserve"> than by </w:t>
      </w:r>
      <w:r>
        <w:rPr>
          <w:i/>
          <w:iCs/>
        </w:rPr>
        <w:t>E. ferrisi</w:t>
      </w:r>
    </w:p>
    <w:p>
      <w:pPr>
        <w:pStyle w:val="Normal"/>
        <w:rPr/>
      </w:pPr>
      <w:r>
        <w:rPr>
          <w:color w:val="000000"/>
        </w:rPr>
        <w:t>Analysing the weight loss upon infection as a proxy for impact on host health of the full dataset (N = 108), we found statistically significant differences both between the mouse subspecies (</w:t>
      </w:r>
      <w:r>
        <w:rPr/>
        <w:t xml:space="preserve">LRT: G = 10, df = 2, P </w:t>
      </w:r>
      <w:r>
        <w:rPr>
          <w:color w:val="000000"/>
        </w:rPr>
        <w:t>&lt; 0.01</w:t>
      </w:r>
      <w:r>
        <w:rPr/>
        <w:t xml:space="preserve">) </w:t>
      </w:r>
      <w:r>
        <w:rPr>
          <w:color w:val="000000"/>
        </w:rPr>
        <w:t xml:space="preserve">and between the parasite species (LRT: G = 18.6, df = 2, P &lt; 0.001). Post-hoc multiple comparison tests showed that Mmd lost less weight than Mmm when infected by </w:t>
      </w:r>
      <w:r>
        <w:rPr>
          <w:i/>
          <w:color w:val="000000"/>
        </w:rPr>
        <w:t>E. falciformis</w:t>
      </w:r>
      <w:r>
        <w:rPr>
          <w:color w:val="000000"/>
        </w:rPr>
        <w:t xml:space="preserve"> (9.3% vs 18.7%), and Mmm lost more weight when infected by </w:t>
      </w:r>
      <w:r>
        <w:rPr>
          <w:i/>
          <w:color w:val="000000"/>
        </w:rPr>
        <w:t>E. falciformis</w:t>
      </w:r>
      <w:r>
        <w:rPr>
          <w:color w:val="000000"/>
        </w:rPr>
        <w:t xml:space="preserve"> than by </w:t>
      </w:r>
      <w:r>
        <w:rPr>
          <w:i/>
          <w:color w:val="000000"/>
        </w:rPr>
        <w:t xml:space="preserve">E. ferrisi </w:t>
      </w:r>
      <w:r>
        <w:rPr>
          <w:color w:val="000000"/>
        </w:rPr>
        <w:t>(</w:t>
      </w:r>
      <w:r>
        <w:rPr>
          <w:b/>
        </w:rPr>
        <w:t xml:space="preserve">Figure 3B; </w:t>
      </w:r>
      <w:r>
        <w:rPr>
          <w:b/>
          <w:bCs/>
          <w:color w:val="000000"/>
          <w:sz w:val="24"/>
          <w:szCs w:val="24"/>
        </w:rPr>
        <w:t>Supplementary Table S3</w:t>
      </w:r>
      <w:r>
        <w:rPr>
          <w:color w:val="000000"/>
        </w:rPr>
        <w:t>).</w:t>
      </w:r>
    </w:p>
    <w:p>
      <w:pPr>
        <w:pStyle w:val="Normal"/>
        <w:rPr/>
      </w:pPr>
      <w:r>
        <w:rPr>
          <w:color w:val="000000"/>
        </w:rPr>
        <w:t xml:space="preserve">Then we modelled maximum weight loss separating </w:t>
      </w:r>
      <w:r>
        <w:rPr>
          <w:i/>
          <w:color w:val="000000"/>
        </w:rPr>
        <w:t>Eimeria </w:t>
      </w:r>
      <w:r>
        <w:rPr>
          <w:color w:val="000000"/>
        </w:rPr>
        <w:t>by isolates (instead of species) and mice by strains (instead of subspecies). We found differences between parasite isolates (</w:t>
      </w:r>
      <w:r>
        <w:rPr/>
        <w:t xml:space="preserve">LRT: G = 30.7, df = 8, P </w:t>
      </w:r>
      <w:r>
        <w:rPr>
          <w:color w:val="000000"/>
        </w:rPr>
        <w:t>&lt; 0.001</w:t>
      </w:r>
      <w:r>
        <w:rPr/>
        <w:t xml:space="preserve">) and mouse strains </w:t>
      </w:r>
      <w:r>
        <w:rPr>
          <w:color w:val="000000"/>
        </w:rPr>
        <w:t>(</w:t>
      </w:r>
      <w:r>
        <w:rPr/>
        <w:t xml:space="preserve">LRT: G = 23, df = 9, P </w:t>
      </w:r>
      <w:r>
        <w:rPr>
          <w:color w:val="000000"/>
        </w:rPr>
        <w:t>&lt; 0.01)</w:t>
      </w:r>
      <w:r>
        <w:rPr/>
        <w:t xml:space="preserve">. Notably, PWD (Mmm) mice infected with </w:t>
      </w:r>
      <w:r>
        <w:rPr>
          <w:color w:val="000000"/>
        </w:rPr>
        <w:t xml:space="preserve">Brandenburg64 </w:t>
      </w:r>
      <w:r>
        <w:rPr/>
        <w:t>(</w:t>
      </w:r>
      <w:r>
        <w:rPr>
          <w:i/>
          <w:color w:val="000000"/>
        </w:rPr>
        <w:t>E. ferrisi</w:t>
      </w:r>
      <w:r>
        <w:rPr/>
        <w:t>) lost significantly more weight than STRA mice (Mmd) infected with the same isolate, following the pattern described at the mouse subspecies-parasite species level (</w:t>
      </w:r>
      <w:r>
        <w:rPr>
          <w:color w:val="000000"/>
        </w:rPr>
        <w:t xml:space="preserve">Mmd losing less weight than Mmm when infected by </w:t>
      </w:r>
      <w:r>
        <w:rPr>
          <w:i/>
          <w:color w:val="000000"/>
        </w:rPr>
        <w:t>E. ferrisi</w:t>
      </w:r>
      <w:r>
        <w:rPr/>
        <w:t xml:space="preserve">). </w:t>
      </w:r>
      <w:r>
        <w:rPr>
          <w:color w:val="000000"/>
        </w:rPr>
        <w:t>Overall, we did not find any significant difference between mouse strains of the same subspecies within a given parasite species infection or between parasite isolates of the same species within a given mouse strain (</w:t>
      </w:r>
      <w:r>
        <w:rPr>
          <w:b/>
        </w:rPr>
        <w:t xml:space="preserve">Figure 4B; </w:t>
      </w:r>
      <w:r>
        <w:rPr>
          <w:b/>
          <w:bCs/>
          <w:color w:val="000000"/>
          <w:sz w:val="24"/>
          <w:szCs w:val="24"/>
        </w:rPr>
        <w:t>Supplementary Table S4</w:t>
      </w:r>
      <w:r>
        <w:rPr/>
        <w:t>).</w:t>
      </w:r>
    </w:p>
    <w:p>
      <w:pPr>
        <w:pStyle w:val="Normal"/>
        <w:rPr>
          <w:i/>
          <w:i/>
          <w:color w:val="000000"/>
        </w:rPr>
      </w:pPr>
      <w:r>
        <w:rPr>
          <w:i/>
          <w:color w:val="000000"/>
        </w:rPr>
      </w:r>
    </w:p>
    <w:p>
      <w:pPr>
        <w:pStyle w:val="Normal"/>
        <w:rPr>
          <w:i/>
          <w:i/>
          <w:iCs/>
          <w:color w:val="000000"/>
          <w:sz w:val="16"/>
          <w:szCs w:val="16"/>
        </w:rPr>
      </w:pPr>
      <w:r>
        <w:rPr>
          <w:i/>
          <w:iCs/>
          <w:color w:val="000000"/>
          <w:sz w:val="16"/>
          <w:szCs w:val="16"/>
        </w:rPr>
      </w:r>
    </w:p>
    <w:p>
      <w:pPr>
        <w:pStyle w:val="Heading2"/>
        <w:jc w:val="both"/>
        <w:rPr/>
      </w:pPr>
      <w:r>
        <w:rPr/>
        <w:t xml:space="preserve">Coupling of resistance and tolerance differs between </w:t>
      </w:r>
      <w:r>
        <w:rPr>
          <w:i/>
        </w:rPr>
        <w:t xml:space="preserve">Eimeria </w:t>
      </w:r>
      <w:r>
        <w:rPr/>
        <w:t>species</w:t>
      </w:r>
    </w:p>
    <w:p>
      <w:pPr>
        <w:pStyle w:val="Normal"/>
        <w:rPr/>
      </w:pPr>
      <w:r>
        <w:rPr/>
        <w:t xml:space="preserve">To test coupling between resistance and tolerance of the mouse subspecies within each of the parasite species, we plotted the mean maximum relative weight loss on maximum oocysts per gram of feces </w:t>
      </w:r>
    </w:p>
    <w:p>
      <w:pPr>
        <w:pStyle w:val="Normal"/>
        <w:rPr/>
      </w:pPr>
      <w:r>
        <w:rPr/>
      </w:r>
    </w:p>
    <w:p>
      <w:pPr>
        <w:pStyle w:val="Normal"/>
        <w:rPr/>
      </w:pPr>
      <w:r>
        <w:rPr/>
        <w:t>Make lm(maxWL ~OPG *isolate) and do LRT tests to test slopes by infection isolate. The concept of this paper. Balanced in every group (ish).</w:t>
      </w:r>
    </w:p>
    <w:p>
      <w:pPr>
        <w:pStyle w:val="Normal"/>
        <w:rPr>
          <w:highlight w:val="yellow"/>
        </w:rPr>
      </w:pPr>
      <w:r>
        <w:rPr>
          <w:highlight w:val="yellow"/>
        </w:rPr>
        <w:t>(</w:t>
      </w:r>
      <w:r>
        <w:rPr>
          <w:b/>
          <w:bCs/>
          <w:highlight w:val="yellow"/>
        </w:rPr>
        <w:t>Figure 5</w:t>
      </w:r>
      <w:r>
        <w:rPr>
          <w:highlight w:val="yellow"/>
        </w:rPr>
        <w:t xml:space="preserve">). </w:t>
      </w:r>
    </w:p>
    <w:p>
      <w:pPr>
        <w:pStyle w:val="Normal"/>
        <w:rPr>
          <w:highlight w:val="yellow"/>
        </w:rPr>
      </w:pPr>
      <w:r>
        <w:rPr>
          <w:highlight w:val="yellow"/>
        </w:rPr>
        <w:t>(</w:t>
      </w:r>
      <w:r>
        <w:rPr>
          <w:b/>
          <w:bCs/>
          <w:highlight w:val="yellow"/>
        </w:rPr>
        <w:t>Figure 6</w:t>
      </w:r>
      <w:r>
        <w:rPr>
          <w:highlight w:val="yellow"/>
        </w:rPr>
        <w:t>)</w:t>
      </w:r>
    </w:p>
    <w:p>
      <w:pPr>
        <w:pStyle w:val="Normal"/>
        <w:rPr/>
      </w:pPr>
      <w:r>
        <w:rPr/>
        <w:t>High tolerance to a given parasite species means that the weight is lowly affected even in case of high</w:t>
      </w:r>
      <w:r>
        <w:rPr>
          <w:rFonts w:eastAsia="Century Schoolbook" w:cs="Century Schoolbook"/>
          <w:i w:val="false"/>
          <w:iCs w:val="false"/>
          <w:color w:val="auto"/>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there is a trade-off between resistance and tolerance, with high tolerance-low resistance for Mmd, and high resistance-low tolerance for Mmm.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r>
        <w:rPr>
          <w:rFonts w:eastAsia="Century Schoolbook" w:cs="Century Schoolbook"/>
          <w:i w:val="false"/>
          <w:iCs w:val="false"/>
          <w:color w:val="auto"/>
        </w:rPr>
        <w:t xml:space="preserve">, resistance varies between both mouse subspecies, but tolerance does not vary consequently, showing a lack of coupling between resistance and tolerance for this parasite. </w:t>
      </w:r>
    </w:p>
    <w:p>
      <w:pPr>
        <w:pStyle w:val="Heading1"/>
        <w:widowControl/>
        <w:jc w:val="both"/>
        <w:rPr/>
      </w:pPr>
      <w:bookmarkStart w:id="10" w:name="_mlftpgaod54o"/>
      <w:bookmarkEnd w:id="10"/>
      <w:r>
        <w:rPr>
          <w:sz w:val="24"/>
        </w:rPr>
        <w:t>Discussion</w:t>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11" w:name="_3j2qqm3"/>
      <w:bookmarkEnd w:id="11"/>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del w:id="0" w:author="Unknown Author" w:date="2020-02-25T17:51:18Z">
        <w:r>
          <w:rPr>
            <w:b/>
          </w:rPr>
          <w:delText>Table 2. Post-hoc statistical test for maximum oocyts per gram of feces (Tuk</w:delText>
        </w:r>
      </w:del>
      <w:del w:id="1" w:author="Unknown Author" w:date="2020-02-25T17:51:18Z">
        <w:r>
          <w:rPr>
            <w:b/>
            <w:bCs/>
          </w:rPr>
          <w:delText>ey Multiple Comparisons of Means) between each mouse subspecies and parasite species. See Figure 3A.Table 3. Post-hoc statistical test for maximum oocyts per gram of feces (Tukey Multiple Comparisons of Means) between each mouse strain and parasite isolate. See Figure 4A.Table 4. Post-hoc statistical test for maximum weight loss (Tukey Multiple Comparisons of Means) between each mouse subspecies and parasite species. See Figure 3B.Table 5. Post-hoc statistical test for maximum weight loss (Tukey Multiple Comparisons of Means) between each mouse strain and parasite isolate. See Figure 4B.Table 6. Post-hoc statistical test for tolerance index (Tukey Multiple Comparisons of Means) between each mouse subspecies and parasite species. See Figure 3C.Table 7. Post-hoc statistical test for tolerance index (Tukey Multiple Comparisons of Means) between each mouse strain and parasite isolate. See Figure 4C.</w:delText>
        </w:r>
      </w:del>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670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6120130" cy="3067050"/>
                    </a:xfrm>
                    <a:prstGeom prst="rect">
                      <a:avLst/>
                    </a:prstGeom>
                  </pic:spPr>
                </pic:pic>
              </a:graphicData>
            </a:graphic>
          </wp:anchor>
        </w:drawing>
      </w:r>
      <w:r>
        <w:rPr>
          <w:b/>
          <w:color w:val="000000"/>
        </w:rPr>
        <w:t>F</w:t>
      </w:r>
      <w:r>
        <w:rPr>
          <w:b/>
          <w:color w:val="000000"/>
        </w:rPr>
        <w:t xml:space="preserve">igure 3. Resistance, impact on host health and tolerance marginal effects for the two mice subspecies and two </w:t>
      </w:r>
      <w:r>
        <w:rPr>
          <w:b/>
          <w:i/>
          <w:color w:val="000000"/>
        </w:rPr>
        <w:t xml:space="preserve">Eimeria </w:t>
      </w:r>
      <w:r>
        <w:rPr>
          <w:b/>
          <w:color w:val="000000"/>
        </w:rPr>
        <w:t>species.</w:t>
      </w:r>
      <w:r>
        <w:rPr>
          <w:color w:val="000000"/>
        </w:rPr>
        <w:t xml:space="preserve"> Values under bars represent the number of animals for each group. (A) Maximum oocysts per gram of feces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2)</w:t>
      </w:r>
      <w:r>
        <w:rPr>
          <w:color w:val="000000"/>
        </w:rPr>
        <w:t xml:space="preserve">; (B) Impact on host health measured as the maximum weight loss during patent period relative to starting weight (%) </w:t>
      </w:r>
      <w:r>
        <w:rPr>
          <w:rFonts w:eastAsia="Century Schoolbook" w:cs="Century Schoolbook"/>
          <w:color w:val="000000"/>
        </w:rPr>
        <w:t>(see Table 4)</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gram of feces + 1e-8) / -8 </w:t>
      </w:r>
      <w:r>
        <w:rPr>
          <w:rFonts w:eastAsia="Century Schoolbook" w:cs="Century Schoolbook"/>
        </w:rPr>
        <w:t>(s</w:t>
      </w:r>
      <w:r>
        <w:rPr>
          <w:rFonts w:eastAsia="Century Schoolbook" w:cs="Century Schoolbook"/>
          <w:color w:val="000000"/>
        </w:rPr>
        <w:t>ee Table 6)</w:t>
      </w:r>
      <w:r>
        <w:br w:type="page"/>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23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3023870"/>
                    </a:xfrm>
                    <a:prstGeom prst="rect">
                      <a:avLst/>
                    </a:prstGeom>
                  </pic:spPr>
                </pic:pic>
              </a:graphicData>
            </a:graphic>
          </wp:anchor>
        </w:drawing>
      </w:r>
      <w:r>
        <w:rPr>
          <w:b/>
          <w:color w:val="000000"/>
        </w:rPr>
        <w:t>F</w:t>
      </w:r>
      <w:r>
        <w:rPr>
          <w:b/>
          <w:color w:val="000000"/>
        </w:rPr>
        <w:t xml:space="preserve">igure 4. Resistance, impact on host health and tolerance marginal effects for four inbred mouse </w:t>
      </w:r>
      <w:r>
        <w:rPr>
          <w:b/>
        </w:rPr>
        <w:t>strains</w:t>
      </w:r>
      <w:r>
        <w:rPr>
          <w:b/>
          <w:color w:val="000000"/>
        </w:rPr>
        <w:t xml:space="preserve"> </w:t>
      </w:r>
      <w:r>
        <w:rPr>
          <w:b/>
        </w:rPr>
        <w:t>infected with</w:t>
      </w:r>
      <w:r>
        <w:rPr>
          <w:b/>
          <w:color w:val="000000"/>
        </w:rPr>
        <w:t xml:space="preserve"> three </w:t>
      </w:r>
      <w:r>
        <w:rPr>
          <w:b/>
          <w:i/>
          <w:color w:val="000000"/>
        </w:rPr>
        <w:t xml:space="preserve">Eimeria </w:t>
      </w:r>
      <w:r>
        <w:rPr>
          <w:b/>
          <w:color w:val="000000"/>
        </w:rPr>
        <w:t>isolates each.</w:t>
      </w:r>
      <w:r>
        <w:rPr/>
        <w:t xml:space="preserve"> </w:t>
      </w:r>
      <w:r>
        <w:rPr>
          <w:color w:val="000000"/>
        </w:rPr>
        <w:t>Values under bars represent the number of animals for each group. (A) Maximum oocysts per gram of feces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3)</w:t>
      </w:r>
      <w:r>
        <w:rPr>
          <w:color w:val="000000"/>
        </w:rPr>
        <w:t xml:space="preserve">; (B) Impact on host health measured as the maximum weight loss during patent period relative to starting weight (%) </w:t>
      </w:r>
      <w:r>
        <w:rPr>
          <w:rFonts w:eastAsia="Century Schoolbook" w:cs="Century Schoolbook"/>
          <w:color w:val="000000"/>
        </w:rPr>
        <w:t>(see Table 5)</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gram of feces + 1e-8) / -8 </w:t>
      </w:r>
      <w:r>
        <w:rPr>
          <w:rFonts w:eastAsia="Century Schoolbook" w:cs="Century Schoolbook"/>
        </w:rPr>
        <w:t>(s</w:t>
      </w:r>
      <w:r>
        <w:rPr>
          <w:rFonts w:eastAsia="Century Schoolbook" w:cs="Century Schoolbook"/>
          <w:color w:val="000000"/>
        </w:rPr>
        <w:t>ee Table 7)</w:t>
      </w:r>
      <w:r>
        <w:rPr>
          <w:rFonts w:eastAsia="Century Schoolbook" w:cs="Century Schoolbook" w:ascii="Century Schoolbook" w:hAnsi="Century Schoolbook"/>
          <w:i/>
        </w:rPr>
        <w:t xml:space="preserve"> </w:t>
      </w:r>
    </w:p>
    <w:p>
      <w:pPr>
        <w:pStyle w:val="Normal"/>
        <w:jc w:val="left"/>
        <w:rPr>
          <w:color w:val="000000"/>
        </w:rPr>
      </w:pPr>
      <w:r>
        <w:rPr>
          <w:color w:val="000000"/>
        </w:rPr>
      </w:r>
      <w:r>
        <w:br w:type="page"/>
      </w:r>
    </w:p>
    <w:p>
      <w:pPr>
        <w:pStyle w:val="Normal"/>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941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332220" cy="3594100"/>
                    </a:xfrm>
                    <a:prstGeom prst="rect">
                      <a:avLst/>
                    </a:prstGeom>
                  </pic:spPr>
                </pic:pic>
              </a:graphicData>
            </a:graphic>
          </wp:anchor>
        </w:drawing>
      </w:r>
      <w:r>
        <w:rPr>
          <w:b/>
          <w:color w:val="000000"/>
        </w:rPr>
        <w:t xml:space="preserve">Figure 5. </w:t>
      </w:r>
      <w:r>
        <w:rPr>
          <w:b/>
          <w:color w:val="000000"/>
        </w:rPr>
        <w:t>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w:t>
      </w:r>
      <w:r>
        <w:rPr>
          <w:rFonts w:eastAsia="Century Schoolbook" w:cs="Century Schoolbook"/>
          <w:i w:val="false"/>
          <w:iCs w:val="false"/>
          <w:color w:val="auto"/>
          <w:highlight w:val="yellow"/>
        </w:rPr>
        <w:t xml:space="preserve">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8"/>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2" w:name="_zdv4ak4r58ez"/>
      <w:bookmarkEnd w:id="12"/>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9">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10">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1">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3" w:name="_GoBack"/>
      <w:r>
        <w:rPr>
          <w:i/>
          <w:color w:val="auto"/>
          <w:u w:val="none"/>
        </w:rPr>
        <w:t>BioRxiv</w:t>
      </w:r>
      <w:bookmarkEnd w:id="13"/>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2"/>
      <w:footerReference w:type="default" r:id="rId13"/>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Tout reprendre à la fin</w:t>
      </w:r>
    </w:p>
  </w:comment>
  <w:comment w:id="1" w:author="Unknown Author" w:date="2020-02-26T15:59:3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w:t>
      </w:r>
    </w:p>
  </w:comment>
  <w:comment w:id="2" w:author="Unknown Author" w:date="2020-02-26T16:02:1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Parler de local adaptation</w:t>
      </w:r>
    </w:p>
  </w:comment>
  <w:comment w:id="3" w:author="Unknown Author" w:date="2020-02-26T16:03:1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Use direct measures</w:t>
      </w:r>
    </w:p>
  </w:comment>
  <w:comment w:id="4" w:author="Unknown Author" w:date="2020-02-26T16:03:3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change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entury Schoolboo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settings.xml><?xml version="1.0" encoding="utf-8"?>
<w:settings xmlns:w="http://schemas.openxmlformats.org/wordprocessingml/2006/main">
  <w:zoom w:percent="13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doi.org/10.1146/annurev.es.24.110193.001003" TargetMode="External"/><Relationship Id="rId10" Type="http://schemas.openxmlformats.org/officeDocument/2006/relationships/hyperlink" Target="https://doi.org/10.1111/j.1365-294X.2011.05343.x" TargetMode="External"/><Relationship Id="rId11" Type="http://schemas.openxmlformats.org/officeDocument/2006/relationships/hyperlink" Target="https://doi.org/10.1101/690487"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844</TotalTime>
  <Application>LibreOffice/6.1.5.2$Linux_X86_64 LibreOffice_project/10$Build-2</Application>
  <Pages>29</Pages>
  <Words>6075</Words>
  <Characters>34892</Characters>
  <CharactersWithSpaces>40816</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2020-02-27T18:08:20Z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