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6.wmf" ContentType="image/x-wmf"/>
  <Override PartName="/word/media/image4.png" ContentType="image/png"/>
  <Override PartName="/word/media/image3.png" ContentType="image/png"/>
  <Override PartName="/word/media/image5.wmf" ContentType="image/x-wmf"/>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480" w:before="0" w:after="283"/>
        <w:jc w:val="center"/>
        <w:rPr/>
      </w:pPr>
      <w:r>
        <w:rPr>
          <w:rFonts w:ascii="Arial" w:hAnsi="Arial"/>
          <w:color w:val="auto"/>
          <w:sz w:val="28"/>
          <w:szCs w:val="28"/>
        </w:rPr>
        <w:t xml:space="preserve">Coupling between tolerance and resistance </w:t>
      </w:r>
      <w:r>
        <w:rPr>
          <w:rFonts w:ascii="Arial" w:hAnsi="Arial"/>
          <w:color w:val="auto"/>
          <w:sz w:val="28"/>
          <w:szCs w:val="28"/>
          <w:highlight w:val="yellow"/>
        </w:rPr>
        <w:t>for two</w:t>
      </w:r>
      <w:r>
        <w:rPr>
          <w:rFonts w:ascii="Arial" w:hAnsi="Arial"/>
          <w:color w:val="auto"/>
          <w:sz w:val="28"/>
          <w:szCs w:val="28"/>
        </w:rPr>
        <w:t xml:space="preserve"> related </w:t>
      </w:r>
      <w:r>
        <w:rPr>
          <w:rFonts w:ascii="Arial" w:hAnsi="Arial"/>
          <w:i/>
          <w:color w:val="auto"/>
          <w:sz w:val="28"/>
          <w:szCs w:val="28"/>
        </w:rPr>
        <w:t>Eimeria</w:t>
      </w:r>
      <w:r>
        <w:rPr>
          <w:rFonts w:ascii="Arial" w:hAnsi="Arial"/>
          <w:color w:val="auto"/>
          <w:sz w:val="28"/>
          <w:szCs w:val="28"/>
        </w:rPr>
        <w:t xml:space="preserve"> parasite species</w:t>
      </w:r>
    </w:p>
    <w:p>
      <w:pPr>
        <w:pStyle w:val="TextBody"/>
        <w:suppressLineNumbers/>
        <w:spacing w:lineRule="auto" w:line="480" w:before="0" w:after="283"/>
        <w:jc w:val="center"/>
        <w:rPr>
          <w:rFonts w:ascii="Arial" w:hAnsi="Arial"/>
          <w:color w:val="auto"/>
          <w:sz w:val="24"/>
          <w:szCs w:val="24"/>
        </w:rPr>
      </w:pPr>
      <w:r>
        <w:rPr>
          <w:rFonts w:ascii="Arial" w:hAnsi="Arial"/>
          <w:color w:val="auto"/>
          <w:sz w:val="24"/>
          <w:szCs w:val="24"/>
        </w:rPr>
        <w:t>Alice Balard</w:t>
      </w:r>
      <w:r>
        <w:rPr>
          <w:rFonts w:ascii="Arial" w:hAnsi="Arial"/>
          <w:color w:val="auto"/>
          <w:sz w:val="24"/>
          <w:szCs w:val="24"/>
          <w:vertAlign w:val="superscript"/>
        </w:rPr>
        <w:t>1,2</w:t>
      </w:r>
      <w:r>
        <w:rPr>
          <w:rFonts w:ascii="Arial" w:hAnsi="Arial"/>
          <w:color w:val="auto"/>
          <w:sz w:val="24"/>
          <w:szCs w:val="24"/>
        </w:rPr>
        <w:t>, Víctor Hugo Jarquín-Díaz</w:t>
      </w:r>
      <w:r>
        <w:rPr>
          <w:rFonts w:ascii="Arial" w:hAnsi="Arial"/>
          <w:color w:val="auto"/>
          <w:sz w:val="24"/>
          <w:szCs w:val="24"/>
          <w:vertAlign w:val="superscript"/>
        </w:rPr>
        <w:t>1,2</w:t>
      </w:r>
      <w:r>
        <w:rPr>
          <w:rFonts w:ascii="Arial" w:hAnsi="Arial"/>
          <w:color w:val="auto"/>
          <w:sz w:val="24"/>
          <w:szCs w:val="24"/>
        </w:rPr>
        <w:t>, Jenny Jost</w:t>
      </w:r>
      <w:r>
        <w:rPr>
          <w:rFonts w:ascii="Arial" w:hAnsi="Arial"/>
          <w:color w:val="auto"/>
          <w:sz w:val="24"/>
          <w:szCs w:val="24"/>
          <w:vertAlign w:val="superscript"/>
        </w:rPr>
        <w:t>1</w:t>
      </w:r>
      <w:r>
        <w:rPr>
          <w:rFonts w:ascii="Arial" w:hAnsi="Arial"/>
          <w:color w:val="auto"/>
          <w:sz w:val="24"/>
          <w:szCs w:val="24"/>
        </w:rPr>
        <w:t>, Vivian Mittné</w:t>
      </w:r>
      <w:r>
        <w:rPr>
          <w:rFonts w:ascii="Arial" w:hAnsi="Arial"/>
          <w:color w:val="auto"/>
          <w:sz w:val="24"/>
          <w:szCs w:val="24"/>
          <w:vertAlign w:val="superscript"/>
        </w:rPr>
        <w:t>1</w:t>
      </w:r>
      <w:r>
        <w:rPr>
          <w:rFonts w:ascii="Arial" w:hAnsi="Arial"/>
          <w:color w:val="auto"/>
          <w:sz w:val="24"/>
          <w:szCs w:val="24"/>
        </w:rPr>
        <w:t>, Francisca Böhning</w:t>
      </w:r>
      <w:r>
        <w:rPr>
          <w:rFonts w:ascii="Arial" w:hAnsi="Arial"/>
          <w:color w:val="auto"/>
          <w:sz w:val="24"/>
          <w:szCs w:val="24"/>
          <w:vertAlign w:val="superscript"/>
        </w:rPr>
        <w:t>1</w:t>
      </w:r>
      <w:r>
        <w:rPr>
          <w:rFonts w:ascii="Arial" w:hAnsi="Arial"/>
          <w:color w:val="auto"/>
          <w:sz w:val="24"/>
          <w:szCs w:val="24"/>
        </w:rPr>
        <w:t>, Ľudovít Ďureje</w:t>
      </w:r>
      <w:r>
        <w:rPr>
          <w:rFonts w:ascii="Arial" w:hAnsi="Arial"/>
          <w:color w:val="auto"/>
          <w:sz w:val="24"/>
          <w:szCs w:val="24"/>
          <w:vertAlign w:val="superscript"/>
        </w:rPr>
        <w:t>3</w:t>
      </w:r>
      <w:r>
        <w:rPr>
          <w:rFonts w:ascii="Arial" w:hAnsi="Arial"/>
          <w:color w:val="auto"/>
          <w:sz w:val="24"/>
          <w:szCs w:val="24"/>
        </w:rPr>
        <w:t>, Jaroslav Piálek</w:t>
      </w:r>
      <w:r>
        <w:rPr>
          <w:rFonts w:ascii="Arial" w:hAnsi="Arial"/>
          <w:color w:val="auto"/>
          <w:sz w:val="24"/>
          <w:szCs w:val="24"/>
          <w:vertAlign w:val="superscript"/>
        </w:rPr>
        <w:t>3</w:t>
      </w:r>
      <w:r>
        <w:rPr>
          <w:rFonts w:ascii="Arial" w:hAnsi="Arial"/>
          <w:color w:val="auto"/>
          <w:sz w:val="24"/>
          <w:szCs w:val="24"/>
        </w:rPr>
        <w:t>, and Emanuel Heitlinger</w:t>
      </w:r>
      <w:r>
        <w:rPr>
          <w:rFonts w:ascii="Arial" w:hAnsi="Arial"/>
          <w:color w:val="auto"/>
          <w:sz w:val="24"/>
          <w:szCs w:val="24"/>
          <w:vertAlign w:val="superscript"/>
        </w:rPr>
        <w:t>1,2</w:t>
      </w:r>
    </w:p>
    <w:p>
      <w:pPr>
        <w:pStyle w:val="TextBody"/>
        <w:suppressLineNumbers/>
        <w:spacing w:lineRule="auto" w:line="360" w:before="0" w:after="283"/>
        <w:jc w:val="left"/>
        <w:rPr>
          <w:rFonts w:ascii="Arial" w:hAnsi="Arial"/>
          <w:color w:val="auto"/>
          <w:sz w:val="24"/>
          <w:szCs w:val="24"/>
        </w:rPr>
      </w:pPr>
      <w:r>
        <w:rPr>
          <w:rFonts w:ascii="Arial" w:hAnsi="Arial"/>
          <w:i/>
          <w:iCs/>
          <w:color w:val="auto"/>
          <w:sz w:val="20"/>
          <w:szCs w:val="20"/>
        </w:rPr>
        <w:t xml:space="preserve">1 Institute for Biology. Department of Molecular Parasitology. Humboldt University Berlin (HU). Philippstr. 13, Haus 14, 10115,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2 Leibniz-Institut für Zoo- und Wildtierforschung (IZW) im Forschungsverbund Berlin e.V.. Alfred-Kowalke-Straße 17, 10315,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3 Research Facility Studenec, Institute of Vertebrate Biology, Czech Academy of Sciences, Květná 8, 603 65 Brno, Czech Republic </w:t>
      </w:r>
    </w:p>
    <w:p>
      <w:pPr>
        <w:pStyle w:val="FirstParagraph"/>
        <w:suppressLineNumbers/>
        <w:spacing w:lineRule="auto" w:line="480" w:before="0" w:after="283"/>
        <w:jc w:val="both"/>
        <w:rPr/>
      </w:pPr>
      <w:r>
        <w:rPr>
          <w:rFonts w:ascii="Arial" w:hAnsi="Arial"/>
          <w:b/>
          <w:color w:val="auto"/>
          <w:sz w:val="24"/>
          <w:szCs w:val="24"/>
        </w:rPr>
        <w:t>Corresponding author:</w:t>
      </w:r>
      <w:r>
        <w:rPr>
          <w:rFonts w:ascii="Arial" w:hAnsi="Arial"/>
          <w:color w:val="auto"/>
          <w:sz w:val="24"/>
          <w:szCs w:val="24"/>
        </w:rPr>
        <w:t xml:space="preserve"> Alice Balard, </w:t>
      </w:r>
      <w:hyperlink r:id="rId2">
        <w:r>
          <w:rPr>
            <w:rStyle w:val="InternetLink"/>
            <w:rFonts w:ascii="Arial" w:hAnsi="Arial"/>
            <w:color w:val="auto"/>
            <w:sz w:val="24"/>
            <w:szCs w:val="24"/>
          </w:rPr>
          <w:t>alice.cam.balard@gmail.com</w:t>
        </w:r>
      </w:hyperlink>
    </w:p>
    <w:p>
      <w:pPr>
        <w:pStyle w:val="Heading1"/>
        <w:suppressLineNumbers/>
        <w:spacing w:lineRule="auto" w:line="480" w:before="0" w:after="283"/>
        <w:jc w:val="both"/>
        <w:rPr>
          <w:rFonts w:ascii="Arial" w:hAnsi="Arial"/>
          <w:color w:val="auto"/>
          <w:sz w:val="24"/>
          <w:szCs w:val="24"/>
        </w:rPr>
      </w:pPr>
      <w:r>
        <w:rPr>
          <w:rFonts w:ascii="Arial" w:hAnsi="Arial"/>
          <w:color w:val="auto"/>
          <w:sz w:val="24"/>
          <w:szCs w:val="24"/>
        </w:rPr>
      </w:r>
      <w:r>
        <w:br w:type="page"/>
      </w:r>
    </w:p>
    <w:p>
      <w:pPr>
        <w:pStyle w:val="Heading1"/>
        <w:spacing w:lineRule="auto" w:line="480" w:before="0" w:after="283"/>
        <w:jc w:val="both"/>
        <w:rPr>
          <w:rFonts w:ascii="Arial" w:hAnsi="Arial"/>
          <w:color w:val="auto"/>
          <w:sz w:val="24"/>
          <w:szCs w:val="24"/>
        </w:rPr>
      </w:pPr>
      <w:bookmarkStart w:id="0" w:name="abstract"/>
      <w:r>
        <w:rPr>
          <w:rFonts w:ascii="Arial" w:hAnsi="Arial"/>
          <w:color w:val="auto"/>
          <w:sz w:val="24"/>
          <w:szCs w:val="24"/>
        </w:rPr>
        <w:t>Abstract</w:t>
      </w:r>
      <w:bookmarkEnd w:id="0"/>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Resistance (host capacity to reduce parasite burden) and tolerance (host capacity to reduce impact on its health for a given parasite burden) manifest two different lines of defence. Tolerance can be independent from resistance, traded-off against it, or the two can be positively correlated because of redundancy in underlying (immune) processes. We here tested whether this coupling between tolerance and resistance could differ upon infection with closely related parasite species. We tested this in experimental infections with two parasite species of genus </w:t>
      </w:r>
      <w:r>
        <w:rPr>
          <w:rFonts w:ascii="Arial" w:hAnsi="Arial"/>
          <w:i/>
          <w:color w:val="auto"/>
          <w:sz w:val="24"/>
          <w:szCs w:val="24"/>
        </w:rPr>
        <w:t>Eimeria</w:t>
      </w:r>
      <w:r>
        <w:rPr>
          <w:rFonts w:ascii="Arial" w:hAnsi="Arial"/>
          <w:color w:val="auto"/>
          <w:sz w:val="24"/>
          <w:szCs w:val="24"/>
        </w:rPr>
        <w:t xml:space="preserve">. We measured proxies for resistance (the (inverse of) number of parasite transmission stages (oocysts) per gram of feces at the day of maximal shedding) and tolerance (the slope of maximum relative weight loss compared to day of infection on number of oocysts per gram of feces at the day of maximal shedding for each host strain) in four inbred mouse strains and four groups of F1 hybrids belonging to two mouse subspecies, </w:t>
      </w:r>
      <w:r>
        <w:rPr>
          <w:rFonts w:ascii="Arial" w:hAnsi="Arial"/>
          <w:i/>
          <w:color w:val="auto"/>
          <w:sz w:val="24"/>
          <w:szCs w:val="24"/>
        </w:rPr>
        <w:t>Mus musculus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We found a negative correlation between resistance and tolerance against </w:t>
      </w:r>
      <w:r>
        <w:rPr>
          <w:rFonts w:ascii="Arial" w:hAnsi="Arial"/>
          <w:i/>
          <w:color w:val="auto"/>
          <w:sz w:val="24"/>
          <w:szCs w:val="24"/>
        </w:rPr>
        <w:t>E. falciformis</w:t>
      </w:r>
      <w:r>
        <w:rPr>
          <w:rFonts w:ascii="Arial" w:hAnsi="Arial"/>
          <w:color w:val="auto"/>
          <w:sz w:val="24"/>
          <w:szCs w:val="24"/>
        </w:rPr>
        <w:t xml:space="preserve">, while the two are uncoupled against </w:t>
      </w:r>
      <w:r>
        <w:rPr>
          <w:rFonts w:ascii="Arial" w:hAnsi="Arial"/>
          <w:i/>
          <w:color w:val="auto"/>
          <w:sz w:val="24"/>
          <w:szCs w:val="24"/>
        </w:rPr>
        <w:t>E. ferrisi.</w:t>
      </w:r>
      <w:r>
        <w:rPr>
          <w:rFonts w:ascii="Arial" w:hAnsi="Arial"/>
          <w:color w:val="auto"/>
          <w:sz w:val="24"/>
          <w:szCs w:val="24"/>
        </w:rPr>
        <w:t xml:space="preserve"> We conclude that resistance and tolerance against the first parasite species might be traded off, but evolve more independently in different mouse genotypes against the latter. We argue that evolution of the host immune defences can be studied largely irrespective of parasite isolates if resistance-tolerance coupling is absent or weak (</w:t>
      </w:r>
      <w:r>
        <w:rPr>
          <w:rFonts w:ascii="Arial" w:hAnsi="Arial"/>
          <w:i/>
          <w:color w:val="auto"/>
          <w:sz w:val="24"/>
          <w:szCs w:val="24"/>
        </w:rPr>
        <w:t>E. ferrisi</w:t>
      </w:r>
      <w:r>
        <w:rPr>
          <w:rFonts w:ascii="Arial" w:hAnsi="Arial"/>
          <w:color w:val="auto"/>
          <w:sz w:val="24"/>
          <w:szCs w:val="24"/>
        </w:rPr>
        <w:t>) but host-parasite coevolution is more likely observable and best studied in a system with negatively correlated tolerance and resistance (</w:t>
      </w:r>
      <w:r>
        <w:rPr>
          <w:rFonts w:ascii="Arial" w:hAnsi="Arial"/>
          <w:i/>
          <w:color w:val="auto"/>
          <w:sz w:val="24"/>
          <w:szCs w:val="24"/>
        </w:rPr>
        <w:t>E. falciformis</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b/>
          <w:color w:val="auto"/>
          <w:sz w:val="24"/>
          <w:szCs w:val="24"/>
        </w:rPr>
        <w:t>Keywords</w:t>
      </w:r>
      <w:r>
        <w:rPr>
          <w:rFonts w:ascii="Arial" w:hAnsi="Arial"/>
          <w:color w:val="auto"/>
          <w:sz w:val="24"/>
          <w:szCs w:val="24"/>
        </w:rPr>
        <w:t xml:space="preserve">: Resistance, Tolerance, </w:t>
      </w:r>
      <w:r>
        <w:rPr>
          <w:rFonts w:ascii="Arial" w:hAnsi="Arial"/>
          <w:i/>
          <w:color w:val="auto"/>
          <w:sz w:val="24"/>
          <w:szCs w:val="24"/>
        </w:rPr>
        <w:t>Eimeria</w:t>
      </w:r>
      <w:r>
        <w:rPr>
          <w:rFonts w:ascii="Arial" w:hAnsi="Arial"/>
          <w:color w:val="auto"/>
          <w:sz w:val="24"/>
          <w:szCs w:val="24"/>
        </w:rPr>
        <w:t>, Coevolution</w:t>
      </w:r>
    </w:p>
    <w:p>
      <w:pPr>
        <w:pStyle w:val="Heading1"/>
        <w:spacing w:lineRule="auto" w:line="480" w:before="0" w:after="283"/>
        <w:jc w:val="both"/>
        <w:rPr>
          <w:rFonts w:ascii="Arial" w:hAnsi="Arial"/>
          <w:color w:val="auto"/>
          <w:sz w:val="24"/>
          <w:szCs w:val="24"/>
        </w:rPr>
      </w:pPr>
      <w:bookmarkStart w:id="1" w:name="introduction"/>
      <w:r>
        <w:rPr>
          <w:rFonts w:ascii="Arial" w:hAnsi="Arial"/>
          <w:color w:val="auto"/>
          <w:sz w:val="24"/>
          <w:szCs w:val="24"/>
        </w:rPr>
        <w:t>Introduction</w:t>
      </w:r>
      <w:bookmarkEnd w:id="1"/>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Host defence mechanisms evolve to alleviate the detrimental effect of parasites. They can be categorised into two components: resistance and tolerance (Råberg et al. 2009). Resistance is the ability of a host to reduce parasite burden, resulting from defence against parasite infection or proliferation early after infection (Schmid-Hempel 2013). The negative effect of resistance on parasite fitness can lead to antagonistic coevolution. According to theoretical models, fluctuating host and parasite genotypes arise, and balancing selection maintains resistance alleles polymorphic (Boots et al. 2008; Roy &amp; Kirchner 2000). Resistance has been the classical "catch all" measure for host-parasite systems, but recently it has been shown to be incomplete, especially with respect to potential fitness effects on the host (Kutzer &amp; Armitage 2016; Råberg et al. 2009). </w:t>
      </w:r>
    </w:p>
    <w:p>
      <w:pPr>
        <w:pStyle w:val="FirstParagraph"/>
        <w:spacing w:lineRule="auto" w:line="480" w:before="0" w:after="283"/>
        <w:jc w:val="both"/>
        <w:rPr>
          <w:rFonts w:ascii="Arial" w:hAnsi="Arial"/>
          <w:color w:val="auto"/>
          <w:sz w:val="24"/>
          <w:szCs w:val="24"/>
        </w:rPr>
      </w:pPr>
      <w:r>
        <w:rPr>
          <w:rFonts w:ascii="Arial" w:hAnsi="Arial"/>
          <w:color w:val="auto"/>
          <w:sz w:val="24"/>
          <w:szCs w:val="24"/>
        </w:rPr>
        <w:t>Disease tolerance (not to be confused from "immunological tolerance", unresponsiveness to self antigens; Medzhitov et al. 2012) is the ability of the host to limit the impact of parasite on its fitness (Råberg et al. 2009; Vale &amp; Little 2012; Kutzer &amp; Armitage 2016). By potentially providing a longer-living niche, this defence mechanism improves, or at least does not deteriorate, the fitness of the parasite. Tolerance alleles are thus predicted by theoretical models to evolve to fixation due to positive feedback loops (Boots et al. 2008; Restif &amp; Koella 2004; Roy &amp; Kirchner 2000). From a mechanistic perspective tolerance alleviates direct or indirect damage (e.g. excessive immune response underlying resistance against parasites, called immunopathology; Graham et al. 2005) caused by parasites (Råberg et al. 2009). Tolerance mechanisms include modulation of inflammatory response (Ayres &amp; Schneider 2012), tissue repair (stress response, damage repair and cellular regeneration mechanisms; Soares et al. 2017), and compensation of parasite-induced damage by increase of reproductive effort (Baucom &amp; Roode 2011). The resulting metabolic costs of resistance and tolerance, with and without parasite infection, determine the optimal (steady state and infection inducible) extent and of both immune defences (Sheldon &amp; Verhulst 1996).</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Resistance and tolerance can be positively associated if they involve the same metabolic pathway, as was shown in the plant model </w:t>
      </w:r>
      <w:r>
        <w:rPr>
          <w:rFonts w:ascii="Arial" w:hAnsi="Arial"/>
          <w:i/>
          <w:color w:val="auto"/>
          <w:sz w:val="24"/>
          <w:szCs w:val="24"/>
        </w:rPr>
        <w:t>Arabidopsis thaliana</w:t>
      </w:r>
      <w:r>
        <w:rPr>
          <w:rFonts w:ascii="Arial" w:hAnsi="Arial"/>
          <w:color w:val="auto"/>
          <w:sz w:val="24"/>
          <w:szCs w:val="24"/>
        </w:rPr>
        <w:t xml:space="preserve"> in response against herbivory (Mesa et al. 2017). In animals, genetic association studies of resistance and tolerance of </w:t>
      </w:r>
      <w:r>
        <w:rPr>
          <w:rFonts w:ascii="Arial" w:hAnsi="Arial"/>
          <w:i/>
          <w:color w:val="auto"/>
          <w:sz w:val="24"/>
          <w:szCs w:val="24"/>
        </w:rPr>
        <w:t>Drosophila melanogaster</w:t>
      </w:r>
      <w:r>
        <w:rPr>
          <w:rFonts w:ascii="Arial" w:hAnsi="Arial"/>
          <w:color w:val="auto"/>
          <w:sz w:val="24"/>
          <w:szCs w:val="24"/>
        </w:rPr>
        <w:t xml:space="preserve"> against the bacterium </w:t>
      </w:r>
      <w:r>
        <w:rPr>
          <w:rFonts w:ascii="Arial" w:hAnsi="Arial"/>
          <w:i/>
          <w:color w:val="auto"/>
          <w:sz w:val="24"/>
          <w:szCs w:val="24"/>
        </w:rPr>
        <w:t>Providencia rettgeri</w:t>
      </w:r>
      <w:r>
        <w:rPr>
          <w:rFonts w:ascii="Arial" w:hAnsi="Arial"/>
          <w:color w:val="auto"/>
          <w:sz w:val="24"/>
          <w:szCs w:val="24"/>
        </w:rPr>
        <w:t xml:space="preserve"> have shown positively correlated genetic effects, as the same loci were associated with changes of both traits in the same direction (Howick &amp; Lazzaro 2017).</w:t>
      </w:r>
    </w:p>
    <w:p>
      <w:pPr>
        <w:pStyle w:val="TextBody"/>
        <w:spacing w:lineRule="auto" w:line="480" w:before="0" w:after="283"/>
        <w:jc w:val="both"/>
        <w:rPr>
          <w:rFonts w:ascii="Arial" w:hAnsi="Arial"/>
          <w:color w:val="auto"/>
          <w:sz w:val="24"/>
          <w:szCs w:val="24"/>
        </w:rPr>
      </w:pPr>
      <w:r>
        <w:rPr>
          <w:rFonts w:ascii="Arial" w:hAnsi="Arial"/>
          <w:color w:val="auto"/>
          <w:sz w:val="24"/>
          <w:szCs w:val="24"/>
        </w:rPr>
        <w:t>Nevertheless, resistance and tolerance can also be genetically and physiologically independent, involving different proximate mechanisms. Lack of correlation between both defences was shown for example in monarch butterflies (</w:t>
      </w:r>
      <w:r>
        <w:rPr>
          <w:rFonts w:ascii="Arial" w:hAnsi="Arial"/>
          <w:i/>
          <w:color w:val="auto"/>
          <w:sz w:val="24"/>
          <w:szCs w:val="24"/>
        </w:rPr>
        <w:t>Danaus plexippus</w:t>
      </w:r>
      <w:r>
        <w:rPr>
          <w:rFonts w:ascii="Arial" w:hAnsi="Arial"/>
          <w:color w:val="auto"/>
          <w:sz w:val="24"/>
          <w:szCs w:val="24"/>
        </w:rPr>
        <w:t xml:space="preserve">) infected by the protozoan parasite </w:t>
      </w:r>
      <w:r>
        <w:rPr>
          <w:rFonts w:ascii="Arial" w:hAnsi="Arial"/>
          <w:i/>
          <w:color w:val="auto"/>
          <w:sz w:val="24"/>
          <w:szCs w:val="24"/>
        </w:rPr>
        <w:t>Ophryocystis elektroscirrha</w:t>
      </w:r>
      <w:r>
        <w:rPr>
          <w:rFonts w:ascii="Arial" w:hAnsi="Arial"/>
          <w:color w:val="auto"/>
          <w:sz w:val="24"/>
          <w:szCs w:val="24"/>
        </w:rPr>
        <w:t>. This study found genetic variation in resistance between butterflies families, but a fixed tolerance (</w:t>
      </w:r>
      <w:bookmarkStart w:id="2" w:name="__DdeLink__3240_3537258354"/>
      <w:r>
        <w:rPr>
          <w:rFonts w:ascii="Arial" w:hAnsi="Arial"/>
          <w:color w:val="auto"/>
          <w:sz w:val="24"/>
          <w:szCs w:val="24"/>
        </w:rPr>
        <w:t>L</w:t>
      </w:r>
      <w:bookmarkEnd w:id="2"/>
      <w:r>
        <w:rPr>
          <w:rFonts w:ascii="Arial" w:hAnsi="Arial"/>
          <w:color w:val="auto"/>
          <w:sz w:val="24"/>
          <w:szCs w:val="24"/>
        </w:rPr>
        <w:t xml:space="preserve">efèvre et al. 2010). Similarly, no correlation could be found between resistance and tolerance for the fish </w:t>
      </w:r>
      <w:r>
        <w:rPr>
          <w:rFonts w:ascii="Arial" w:hAnsi="Arial"/>
          <w:i/>
          <w:color w:val="auto"/>
          <w:sz w:val="24"/>
          <w:szCs w:val="24"/>
        </w:rPr>
        <w:t>Leuciscus burdigalensis</w:t>
      </w:r>
      <w:r>
        <w:rPr>
          <w:rFonts w:ascii="Arial" w:hAnsi="Arial"/>
          <w:color w:val="auto"/>
          <w:sz w:val="24"/>
          <w:szCs w:val="24"/>
        </w:rPr>
        <w:t xml:space="preserve"> in response to infection with its parasite </w:t>
      </w:r>
      <w:r>
        <w:rPr>
          <w:rFonts w:ascii="Arial" w:hAnsi="Arial"/>
          <w:i/>
          <w:color w:val="auto"/>
          <w:sz w:val="24"/>
          <w:szCs w:val="24"/>
        </w:rPr>
        <w:t>Tracheliastes polycolpus</w:t>
      </w:r>
      <w:r>
        <w:rPr>
          <w:rFonts w:ascii="Arial" w:hAnsi="Arial"/>
          <w:color w:val="auto"/>
          <w:sz w:val="24"/>
          <w:szCs w:val="24"/>
        </w:rPr>
        <w:t>. The authors explain the decoupling of both defences by the fact that, in this system, tolerance likely involves wound repair rather than immune regulation, making resistance and tolerance mechanisms independent (Mazé-Guilmo et al. 2014).</w:t>
      </w:r>
    </w:p>
    <w:p>
      <w:pPr>
        <w:pStyle w:val="TextBody"/>
        <w:spacing w:lineRule="auto" w:line="480" w:before="0" w:after="283"/>
        <w:jc w:val="both"/>
        <w:rPr/>
      </w:pPr>
      <w:r>
        <w:rPr>
          <w:rFonts w:ascii="Arial" w:hAnsi="Arial"/>
          <w:color w:val="auto"/>
          <w:sz w:val="24"/>
          <w:szCs w:val="24"/>
          <w:highlight w:val="yellow"/>
        </w:rPr>
        <w:t>I</w:t>
      </w:r>
      <w:r>
        <w:rPr>
          <w:rFonts w:ascii="Arial" w:hAnsi="Arial"/>
          <w:color w:val="auto"/>
          <w:sz w:val="24"/>
          <w:szCs w:val="24"/>
        </w:rPr>
        <w:t xml:space="preserve">n other systems, resistance and tolerance have been found negatively correlated. For examples, inbred laboratory mouse strains lose weight upon infection with </w:t>
      </w:r>
      <w:r>
        <w:rPr>
          <w:rFonts w:ascii="Arial" w:hAnsi="Arial"/>
          <w:i/>
          <w:color w:val="auto"/>
          <w:sz w:val="24"/>
          <w:szCs w:val="24"/>
        </w:rPr>
        <w:t>Plasmodium chabaudi.</w:t>
      </w:r>
      <w:r>
        <w:rPr>
          <w:rFonts w:ascii="Arial" w:hAnsi="Arial"/>
          <w:color w:val="auto"/>
          <w:sz w:val="24"/>
          <w:szCs w:val="24"/>
        </w:rPr>
        <w:t xml:space="preserve"> The extent of this impact on host health is negatively correlated with the peak number of parasites found in the blood (Råberg et al 2007), meaning that mouse strains with higher resistance present lower tolerance. Similarly, infections of sea trout (</w:t>
      </w:r>
      <w:r>
        <w:rPr>
          <w:rFonts w:ascii="Arial" w:hAnsi="Arial"/>
          <w:i/>
          <w:color w:val="auto"/>
          <w:sz w:val="24"/>
          <w:szCs w:val="24"/>
        </w:rPr>
        <w:t>Salmo trutta trutta</w:t>
      </w:r>
      <w:r>
        <w:rPr>
          <w:rFonts w:ascii="Arial" w:hAnsi="Arial"/>
          <w:color w:val="auto"/>
          <w:sz w:val="24"/>
          <w:szCs w:val="24"/>
        </w:rPr>
        <w:t>) and Atlantic salmon (</w:t>
      </w:r>
      <w:r>
        <w:rPr>
          <w:rFonts w:ascii="Arial" w:hAnsi="Arial"/>
          <w:i/>
          <w:color w:val="auto"/>
          <w:sz w:val="24"/>
          <w:szCs w:val="24"/>
        </w:rPr>
        <w:t>Salmo salar</w:t>
      </w:r>
      <w:r>
        <w:rPr>
          <w:rFonts w:ascii="Arial" w:hAnsi="Arial"/>
          <w:color w:val="auto"/>
          <w:sz w:val="24"/>
          <w:szCs w:val="24"/>
        </w:rPr>
        <w:t xml:space="preserve">) with the trematode </w:t>
      </w:r>
      <w:r>
        <w:rPr>
          <w:rFonts w:ascii="Arial" w:hAnsi="Arial"/>
          <w:i/>
          <w:color w:val="auto"/>
          <w:sz w:val="24"/>
          <w:szCs w:val="24"/>
        </w:rPr>
        <w:t>Diplostomum pseudospathaceum</w:t>
      </w:r>
      <w:r>
        <w:rPr>
          <w:rFonts w:ascii="Arial" w:hAnsi="Arial"/>
          <w:color w:val="auto"/>
          <w:sz w:val="24"/>
          <w:szCs w:val="24"/>
        </w:rPr>
        <w:t xml:space="preserve"> showed that resistance and tolerance were negatively correlated when assessing mean levels of both traits in different host populations (Klemme &amp; Karvonen 2016). This is interpreted as a result of trade-off between resistance and tolerance (Sheldon &amp; Verhulst 1996; Restif &amp; Koella 2004; Råberg et al. 2009).</w:t>
      </w:r>
    </w:p>
    <w:p>
      <w:pPr>
        <w:pStyle w:val="TextBody"/>
        <w:spacing w:lineRule="auto" w:line="480" w:before="0" w:after="283"/>
        <w:jc w:val="both"/>
        <w:rPr/>
      </w:pPr>
      <w:r>
        <w:rPr>
          <w:rFonts w:ascii="Arial" w:hAnsi="Arial"/>
          <w:color w:val="auto"/>
          <w:sz w:val="24"/>
          <w:szCs w:val="24"/>
        </w:rPr>
        <w:t xml:space="preserve">We have seen that depending on the system studied resistance and tolerance can be (1) uncoupled (independent), (2) positively correlated (involving same genes and mechanisms), or (3) negatively correlated (traded-off). Theoretical models show that coupling between resistance and tolerance (or absence thereof) could depend not only on the host but also on the parasite (Carval &amp; Ferriere 2010). Here we tested this hypothesis. More precisely, we asked whether there could be differences in the resistance-tolerance coupling upon infection of one host type with two closely related parasite species. To answer this question, we infected four inbred mouse strains and four groups of F1 hybrids representative of two house mouse subspecies,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with three parasite isolates representative of two naturally occuring parasite species, the protozoan parasite </w:t>
      </w:r>
      <w:r>
        <w:rPr>
          <w:rFonts w:ascii="Arial" w:hAnsi="Arial"/>
          <w:i/>
          <w:color w:val="auto"/>
          <w:sz w:val="24"/>
          <w:szCs w:val="24"/>
        </w:rPr>
        <w:t>Eimeria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(Jarquín-Díaz et al. 2019). </w:t>
      </w:r>
      <w:r>
        <w:rPr>
          <w:rFonts w:ascii="Arial" w:hAnsi="Arial"/>
          <w:i/>
          <w:color w:val="auto"/>
          <w:sz w:val="24"/>
          <w:szCs w:val="24"/>
        </w:rPr>
        <w:t>Eimeria</w:t>
      </w:r>
      <w:r>
        <w:rPr>
          <w:rFonts w:ascii="Arial" w:hAnsi="Arial"/>
          <w:color w:val="auto"/>
          <w:sz w:val="24"/>
          <w:szCs w:val="24"/>
        </w:rPr>
        <w:t xml:space="preserve"> spp. are monoxenous parasites that expand asexually and reproduce sexually in intestinal epithelial cells, leading to malabsorption of nutrients, tissue damage and weight loss (Chapman et al. 2013). The evolutionary history of these different </w:t>
      </w:r>
      <w:r>
        <w:rPr>
          <w:rFonts w:ascii="Arial" w:hAnsi="Arial"/>
          <w:i/>
          <w:color w:val="auto"/>
          <w:sz w:val="24"/>
          <w:szCs w:val="24"/>
        </w:rPr>
        <w:t>Eimeria</w:t>
      </w:r>
      <w:r>
        <w:rPr>
          <w:rFonts w:ascii="Arial" w:hAnsi="Arial"/>
          <w:color w:val="auto"/>
          <w:sz w:val="24"/>
          <w:szCs w:val="24"/>
        </w:rPr>
        <w:t xml:space="preserve"> species in the two house mouse subspecies is unknown and it is unclear whether subspecies-specific adaptation exists in one or the other.</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tested if coupling between resistance and tolerance differs between both parasite species and discussed the implication for parasite-host coevolution. Additionally, as coevolving hosts and parasites can adapt to their antagonist, we tested adaptation to the host subspecies (hereafter "host adaptation") of </w:t>
      </w:r>
      <w:r>
        <w:rPr>
          <w:rFonts w:ascii="Arial" w:hAnsi="Arial"/>
          <w:i/>
          <w:color w:val="auto"/>
          <w:sz w:val="24"/>
          <w:szCs w:val="24"/>
        </w:rPr>
        <w:t>E. ferrisi</w:t>
      </w:r>
      <w:r>
        <w:rPr>
          <w:rFonts w:ascii="Arial" w:hAnsi="Arial"/>
          <w:color w:val="auto"/>
          <w:sz w:val="24"/>
          <w:szCs w:val="24"/>
        </w:rPr>
        <w:t xml:space="preserve"> to </w:t>
      </w:r>
      <w:r>
        <w:rPr>
          <w:rFonts w:ascii="Arial" w:hAnsi="Arial"/>
          <w:i/>
          <w:color w:val="auto"/>
          <w:sz w:val="24"/>
          <w:szCs w:val="24"/>
        </w:rPr>
        <w:t>Mus musculus</w:t>
      </w:r>
      <w:r>
        <w:rPr>
          <w:rFonts w:ascii="Arial" w:hAnsi="Arial"/>
          <w:color w:val="auto"/>
          <w:sz w:val="24"/>
          <w:szCs w:val="24"/>
        </w:rPr>
        <w:t xml:space="preserve">, using a parasite isolated in a </w:t>
      </w:r>
      <w:r>
        <w:rPr>
          <w:rFonts w:ascii="Arial" w:hAnsi="Arial"/>
          <w:i/>
          <w:color w:val="auto"/>
          <w:sz w:val="24"/>
          <w:szCs w:val="24"/>
        </w:rPr>
        <w:t>M. m. domesticus</w:t>
      </w:r>
      <w:r>
        <w:rPr>
          <w:rFonts w:ascii="Arial" w:hAnsi="Arial"/>
          <w:color w:val="auto"/>
          <w:sz w:val="24"/>
          <w:szCs w:val="24"/>
        </w:rPr>
        <w:t xml:space="preserve"> host and one in a </w:t>
      </w:r>
      <w:r>
        <w:rPr>
          <w:rFonts w:ascii="Arial" w:hAnsi="Arial"/>
          <w:i/>
          <w:color w:val="auto"/>
          <w:sz w:val="24"/>
          <w:szCs w:val="24"/>
        </w:rPr>
        <w:t>M. m. musculus</w:t>
      </w:r>
      <w:r>
        <w:rPr>
          <w:rFonts w:ascii="Arial" w:hAnsi="Arial"/>
          <w:color w:val="auto"/>
          <w:sz w:val="24"/>
          <w:szCs w:val="24"/>
        </w:rPr>
        <w:t xml:space="preserve"> host. Higher parasite fitness of one isolate in one of the two hosts and inversely for the second isolate, or higher host fitness upon infection with one of the two parasite isolates and inversely for the second isolate, would be indirect evidence for coevolution of this parasite with </w:t>
      </w:r>
      <w:r>
        <w:rPr>
          <w:rFonts w:ascii="Arial" w:hAnsi="Arial"/>
          <w:i/>
          <w:color w:val="auto"/>
          <w:sz w:val="24"/>
          <w:szCs w:val="24"/>
        </w:rPr>
        <w:t>Mus musculus</w:t>
      </w:r>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3" w:name="material-and-methods"/>
      <w:r>
        <w:rPr>
          <w:rFonts w:ascii="Arial" w:hAnsi="Arial"/>
          <w:color w:val="auto"/>
          <w:sz w:val="24"/>
          <w:szCs w:val="24"/>
        </w:rPr>
        <w:t>Material and methods</w:t>
      </w:r>
      <w:bookmarkEnd w:id="3"/>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4" w:name="parasite-isolates"/>
      <w:r>
        <w:rPr>
          <w:rFonts w:ascii="Arial" w:hAnsi="Arial"/>
          <w:color w:val="auto"/>
          <w:sz w:val="24"/>
          <w:szCs w:val="24"/>
        </w:rPr>
        <w:t>Parasite isolates</w:t>
      </w:r>
      <w:bookmarkEnd w:id="4"/>
    </w:p>
    <w:p>
      <w:pPr>
        <w:pStyle w:val="FirstParagraph"/>
        <w:spacing w:lineRule="auto" w:line="480" w:before="0" w:after="283"/>
        <w:jc w:val="both"/>
        <w:rPr/>
      </w:pPr>
      <w:r>
        <w:rPr>
          <w:rFonts w:ascii="Arial" w:hAnsi="Arial"/>
          <w:color w:val="auto"/>
          <w:sz w:val="24"/>
          <w:szCs w:val="24"/>
        </w:rPr>
        <w:t xml:space="preserve">The three parasite isolates used in this study were isolated from feces of three different </w:t>
      </w:r>
      <w:r>
        <w:rPr>
          <w:rFonts w:ascii="Arial" w:hAnsi="Arial"/>
          <w:i/>
          <w:color w:val="auto"/>
          <w:sz w:val="24"/>
          <w:szCs w:val="24"/>
        </w:rPr>
        <w:t>M. m. domesticus/M. m. musculus</w:t>
      </w:r>
      <w:r>
        <w:rPr>
          <w:rFonts w:ascii="Arial" w:hAnsi="Arial"/>
          <w:color w:val="auto"/>
          <w:sz w:val="24"/>
          <w:szCs w:val="24"/>
        </w:rPr>
        <w:t xml:space="preserve"> hybrid mice captured in Brandenburg, Germany, in 2016 (capture permit No. 2347/35/2014). The parasite isolates belong to both the most prevalent </w:t>
      </w:r>
      <w:r>
        <w:rPr>
          <w:rFonts w:ascii="Arial" w:hAnsi="Arial"/>
          <w:i/>
          <w:color w:val="auto"/>
          <w:sz w:val="24"/>
          <w:szCs w:val="24"/>
        </w:rPr>
        <w:t>Eimeria</w:t>
      </w:r>
      <w:r>
        <w:rPr>
          <w:rFonts w:ascii="Arial" w:hAnsi="Arial"/>
          <w:color w:val="auto"/>
          <w:sz w:val="24"/>
          <w:szCs w:val="24"/>
        </w:rPr>
        <w:t xml:space="preserve"> species in this area, namely </w:t>
      </w:r>
      <w:r>
        <w:rPr>
          <w:rFonts w:ascii="Arial" w:hAnsi="Arial"/>
          <w:i/>
          <w:color w:val="auto"/>
          <w:sz w:val="24"/>
          <w:szCs w:val="24"/>
        </w:rPr>
        <w:t>E. ferrisi</w:t>
      </w:r>
      <w:r>
        <w:rPr>
          <w:rFonts w:ascii="Arial" w:hAnsi="Arial"/>
          <w:color w:val="auto"/>
          <w:sz w:val="24"/>
          <w:szCs w:val="24"/>
        </w:rPr>
        <w:t xml:space="preserve"> (isolate Brandenburg64) and </w:t>
      </w:r>
      <w:r>
        <w:rPr>
          <w:rFonts w:ascii="Arial" w:hAnsi="Arial"/>
          <w:i/>
          <w:color w:val="auto"/>
          <w:sz w:val="24"/>
          <w:szCs w:val="24"/>
        </w:rPr>
        <w:t xml:space="preserve">E. falciformis </w:t>
      </w:r>
      <w:r>
        <w:rPr>
          <w:rFonts w:ascii="Arial" w:hAnsi="Arial"/>
          <w:color w:val="auto"/>
          <w:sz w:val="24"/>
          <w:szCs w:val="24"/>
        </w:rPr>
        <w:t xml:space="preserve">(isolate Brandenburg88)(Jarquín-Díaz et al. 2019). Isolate Brandenburg64 was isolated in a 92% </w:t>
      </w:r>
      <w:r>
        <w:rPr>
          <w:rFonts w:ascii="Arial" w:hAnsi="Arial"/>
          <w:i/>
          <w:color w:val="auto"/>
          <w:sz w:val="24"/>
          <w:szCs w:val="24"/>
        </w:rPr>
        <w:t>M. m. domesticus</w:t>
      </w:r>
      <w:r>
        <w:rPr>
          <w:rFonts w:ascii="Arial" w:hAnsi="Arial"/>
          <w:color w:val="auto"/>
          <w:sz w:val="24"/>
          <w:szCs w:val="24"/>
        </w:rPr>
        <w:t xml:space="preserve"> individual (hybrid index (HI) = 0.08: Proportion of </w:t>
      </w:r>
      <w:r>
        <w:rPr>
          <w:rFonts w:ascii="Arial" w:hAnsi="Arial"/>
          <w:i/>
          <w:color w:val="auto"/>
          <w:sz w:val="24"/>
          <w:szCs w:val="24"/>
        </w:rPr>
        <w:t>M. m. musculus</w:t>
      </w:r>
      <w:r>
        <w:rPr>
          <w:rFonts w:ascii="Arial" w:hAnsi="Arial"/>
          <w:color w:val="auto"/>
          <w:sz w:val="24"/>
          <w:szCs w:val="24"/>
        </w:rPr>
        <w:t xml:space="preserve"> alleles in a set of 14 diagnostic markers, see Balard et al. (2020)) and isolate Brandenburg88 in a 80% </w:t>
      </w:r>
      <w:r>
        <w:rPr>
          <w:rFonts w:ascii="Arial" w:hAnsi="Arial"/>
          <w:i/>
          <w:color w:val="auto"/>
          <w:sz w:val="24"/>
          <w:szCs w:val="24"/>
        </w:rPr>
        <w:t>M. m. domesticus</w:t>
      </w:r>
      <w:r>
        <w:rPr>
          <w:rFonts w:ascii="Arial" w:hAnsi="Arial"/>
          <w:color w:val="auto"/>
          <w:sz w:val="24"/>
          <w:szCs w:val="24"/>
        </w:rPr>
        <w:t xml:space="preserve"> (HI=0.2).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et al. (2019)) and stored at room temperature in 1mL of 2% potassium dichromate for a maximum of 2 months before infection of the wild-derived mice. Oocysts were allowed to sporulate 10 days before infection in a water bath at 30°C.</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2. </w:t>
      </w:r>
      <w:bookmarkStart w:id="5" w:name="mouse-groups"/>
      <w:r>
        <w:rPr>
          <w:rFonts w:ascii="Arial" w:hAnsi="Arial"/>
          <w:color w:val="auto"/>
          <w:sz w:val="24"/>
          <w:szCs w:val="24"/>
        </w:rPr>
        <w:t>Mouse groups</w:t>
      </w:r>
      <w:bookmarkEnd w:id="5"/>
    </w:p>
    <w:p>
      <w:pPr>
        <w:pStyle w:val="FirstParagraph"/>
        <w:spacing w:lineRule="auto" w:line="480" w:before="0" w:after="283"/>
        <w:jc w:val="both"/>
        <w:rPr/>
      </w:pPr>
      <w:r>
        <w:rPr>
          <w:rFonts w:ascii="Arial" w:hAnsi="Arial"/>
          <w:color w:val="auto"/>
          <w:sz w:val="24"/>
          <w:szCs w:val="24"/>
        </w:rPr>
        <w:t xml:space="preserve">We used four wild-derived inbred mouse strains from which we generated four groups of F1 hybrids. Two parental strains represented </w:t>
      </w:r>
      <w:r>
        <w:rPr>
          <w:rFonts w:ascii="Arial" w:hAnsi="Arial"/>
          <w:i/>
          <w:color w:val="auto"/>
          <w:sz w:val="24"/>
          <w:szCs w:val="24"/>
        </w:rPr>
        <w:t>M. m. domesticus</w:t>
      </w:r>
      <w:r>
        <w:rPr>
          <w:rFonts w:ascii="Arial" w:hAnsi="Arial"/>
          <w:color w:val="auto"/>
          <w:sz w:val="24"/>
          <w:szCs w:val="24"/>
        </w:rPr>
        <w:t xml:space="preserve">: </w:t>
      </w:r>
      <w:r>
        <w:rPr>
          <w:rFonts w:ascii="Arial" w:hAnsi="Arial"/>
          <w:b/>
          <w:color w:val="auto"/>
          <w:sz w:val="24"/>
          <w:szCs w:val="24"/>
        </w:rPr>
        <w:t>SCHUNT</w:t>
      </w:r>
      <w:r>
        <w:rPr>
          <w:rFonts w:ascii="Arial" w:hAnsi="Arial"/>
          <w:color w:val="auto"/>
          <w:sz w:val="24"/>
          <w:szCs w:val="24"/>
        </w:rPr>
        <w:t xml:space="preserve"> (Locality: Schweben, Hessen, Germany [N: 5</w:t>
      </w:r>
      <w:bookmarkStart w:id="6" w:name="__DdeLink__14592_3537258354"/>
      <w:r>
        <w:rPr>
          <w:rFonts w:ascii="Arial" w:hAnsi="Arial"/>
          <w:color w:val="auto"/>
          <w:sz w:val="24"/>
          <w:szCs w:val="24"/>
        </w:rPr>
        <w:t>°</w:t>
      </w:r>
      <w:bookmarkEnd w:id="6"/>
      <w:r>
        <w:rPr>
          <w:rFonts w:ascii="Arial" w:hAnsi="Arial"/>
          <w:color w:val="auto"/>
          <w:sz w:val="24"/>
          <w:szCs w:val="24"/>
        </w:rPr>
        <w:t xml:space="preserve">0 26’, E: 9° 36’] (Martincová et al. 2019)) and </w:t>
      </w:r>
      <w:r>
        <w:rPr>
          <w:rFonts w:ascii="Arial" w:hAnsi="Arial"/>
          <w:b/>
          <w:color w:val="auto"/>
          <w:sz w:val="24"/>
          <w:szCs w:val="24"/>
        </w:rPr>
        <w:t>STRA</w:t>
      </w:r>
      <w:r>
        <w:rPr>
          <w:rFonts w:ascii="Arial" w:hAnsi="Arial"/>
          <w:color w:val="auto"/>
          <w:sz w:val="24"/>
          <w:szCs w:val="24"/>
        </w:rPr>
        <w:t xml:space="preserve"> (Locality: Straas, Bavaria, Germany [N: 50° 11’, E: 11° 46’] (Piálek et al. 2008), and two derived from </w:t>
      </w:r>
      <w:r>
        <w:rPr>
          <w:rFonts w:ascii="Arial" w:hAnsi="Arial"/>
          <w:i/>
          <w:color w:val="auto"/>
          <w:sz w:val="24"/>
          <w:szCs w:val="24"/>
        </w:rPr>
        <w:t>M. m. musculus</w:t>
      </w:r>
      <w:r>
        <w:rPr>
          <w:rFonts w:ascii="Arial" w:hAnsi="Arial"/>
          <w:color w:val="auto"/>
          <w:sz w:val="24"/>
          <w:szCs w:val="24"/>
        </w:rPr>
        <w:t xml:space="preserve">: </w:t>
      </w:r>
      <w:r>
        <w:rPr>
          <w:rFonts w:ascii="Arial" w:hAnsi="Arial"/>
          <w:b/>
          <w:color w:val="auto"/>
          <w:sz w:val="24"/>
          <w:szCs w:val="24"/>
        </w:rPr>
        <w:t>BUSNA</w:t>
      </w:r>
      <w:r>
        <w:rPr>
          <w:rFonts w:ascii="Arial" w:hAnsi="Arial"/>
          <w:color w:val="auto"/>
          <w:sz w:val="24"/>
          <w:szCs w:val="24"/>
        </w:rPr>
        <w:t xml:space="preserve"> (Locality: Buškovice, Bohemia, Czech Republic [N: 5°0 14’, E: 1°3 22’] (Piálek et al. 2008)) and </w:t>
      </w:r>
      <w:r>
        <w:rPr>
          <w:rFonts w:ascii="Arial" w:hAnsi="Arial"/>
          <w:b/>
          <w:color w:val="auto"/>
          <w:sz w:val="24"/>
          <w:szCs w:val="24"/>
        </w:rPr>
        <w:t>PWD</w:t>
      </w:r>
      <w:r>
        <w:rPr>
          <w:rFonts w:ascii="Arial" w:hAnsi="Arial"/>
          <w:color w:val="auto"/>
          <w:sz w:val="24"/>
          <w:szCs w:val="24"/>
        </w:rPr>
        <w:t xml:space="preserve"> (Locality: Kunratice, Bohemia, Czech Republic [N: 5°0 01’, E: 14 2°9’] (Gregorová and Forejt 2000)). The four groups of F1 hybrids consisted of two intrasubspecific hybrids (</w:t>
      </w:r>
      <w:r>
        <w:rPr>
          <w:rFonts w:ascii="Arial" w:hAnsi="Arial"/>
          <w:b/>
          <w:color w:val="auto"/>
          <w:sz w:val="24"/>
          <w:szCs w:val="24"/>
        </w:rPr>
        <w:t>SCHUNTxSTRA</w:t>
      </w:r>
      <w:r>
        <w:rPr>
          <w:rFonts w:ascii="Arial" w:hAnsi="Arial"/>
          <w:color w:val="auto"/>
          <w:sz w:val="24"/>
          <w:szCs w:val="24"/>
        </w:rPr>
        <w:t xml:space="preserve"> and </w:t>
      </w:r>
      <w:r>
        <w:rPr>
          <w:rFonts w:ascii="Arial" w:hAnsi="Arial"/>
          <w:b/>
          <w:color w:val="auto"/>
          <w:sz w:val="24"/>
          <w:szCs w:val="24"/>
        </w:rPr>
        <w:t>PWDxBUSNA</w:t>
      </w:r>
      <w:r>
        <w:rPr>
          <w:rFonts w:ascii="Arial" w:hAnsi="Arial"/>
          <w:color w:val="auto"/>
          <w:sz w:val="24"/>
          <w:szCs w:val="24"/>
        </w:rPr>
        <w:t>) and two intersubspecific hybrids (</w:t>
      </w:r>
      <w:r>
        <w:rPr>
          <w:rFonts w:ascii="Arial" w:hAnsi="Arial"/>
          <w:b/>
          <w:color w:val="auto"/>
          <w:sz w:val="24"/>
          <w:szCs w:val="24"/>
        </w:rPr>
        <w:t>STRAxBUSNA</w:t>
      </w:r>
      <w:r>
        <w:rPr>
          <w:rFonts w:ascii="Arial" w:hAnsi="Arial"/>
          <w:color w:val="auto"/>
          <w:sz w:val="24"/>
          <w:szCs w:val="24"/>
        </w:rPr>
        <w:t xml:space="preserve"> and </w:t>
      </w:r>
      <w:r>
        <w:rPr>
          <w:rFonts w:ascii="Arial" w:hAnsi="Arial"/>
          <w:b/>
          <w:color w:val="auto"/>
          <w:sz w:val="24"/>
          <w:szCs w:val="24"/>
        </w:rPr>
        <w:t>SCHUNTxPWD</w:t>
      </w:r>
      <w:r>
        <w:rPr>
          <w:rFonts w:ascii="Arial" w:hAnsi="Arial"/>
          <w:color w:val="auto"/>
          <w:sz w:val="24"/>
          <w:szCs w:val="24"/>
        </w:rPr>
        <w:t>)(</w:t>
      </w:r>
      <w:r>
        <w:rPr>
          <w:rFonts w:ascii="Arial" w:hAnsi="Arial"/>
          <w:b/>
          <w:color w:val="auto"/>
          <w:sz w:val="24"/>
          <w:szCs w:val="24"/>
        </w:rPr>
        <w:t>Figure 1</w:t>
      </w:r>
      <w:r>
        <w:rPr>
          <w:rFonts w:ascii="Arial" w:hAnsi="Arial"/>
          <w:color w:val="auto"/>
          <w:sz w:val="24"/>
          <w:szCs w:val="24"/>
        </w:rPr>
        <w:t xml:space="preserve">). Age of the mice at the time of infection ranged between 5.6 and 21.4 weeks, </w:t>
      </w:r>
      <w:r>
        <w:rPr>
          <w:rFonts w:eastAsia="Roboto" w:cs="Roboto" w:ascii="Arial" w:hAnsi="Arial"/>
          <w:color w:val="auto"/>
          <w:sz w:val="24"/>
          <w:szCs w:val="24"/>
          <w:highlight w:val="yellow"/>
        </w:rPr>
        <w:t xml:space="preserve">with a mean for each eight mouse strains </w:t>
      </w:r>
      <w:r>
        <w:rPr>
          <w:rFonts w:eastAsia="Roboto" w:cs="Roboto" w:ascii="Arial" w:hAnsi="Arial"/>
          <w:color w:val="auto"/>
          <w:sz w:val="24"/>
          <w:szCs w:val="24"/>
          <w:highlight w:val="yellow"/>
        </w:rPr>
        <w:t>ranging</w:t>
      </w:r>
      <w:r>
        <w:rPr>
          <w:rFonts w:eastAsia="Roboto" w:cs="Roboto" w:ascii="Arial" w:hAnsi="Arial"/>
          <w:color w:val="auto"/>
          <w:sz w:val="24"/>
          <w:szCs w:val="24"/>
          <w:highlight w:val="yellow"/>
        </w:rPr>
        <w:t xml:space="preserve"> between 11.2 and 14.7 weeks.</w:t>
      </w:r>
      <w:r>
        <w:rPr>
          <w:rFonts w:ascii="Arial" w:hAnsi="Arial"/>
          <w:color w:val="auto"/>
          <w:sz w:val="24"/>
          <w:szCs w:val="24"/>
        </w:rPr>
        <w:t xml:space="preserve"> All mouse strains and F1 hybrids were obtained from the Institute of Vertebrate Biology of the Czech Academy of Sciences in Studenec (licence number 61974/2017-MZE-17214; for further details on strains see </w:t>
      </w:r>
      <w:hyperlink r:id="rId3">
        <w:r>
          <w:rPr>
            <w:rStyle w:val="InternetLink"/>
            <w:rFonts w:ascii="Arial" w:hAnsi="Arial"/>
            <w:color w:val="auto"/>
            <w:sz w:val="24"/>
            <w:szCs w:val="24"/>
          </w:rPr>
          <w:t>https://housemice.cz/en</w:t>
        </w:r>
      </w:hyperlink>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Parasites of the </w:t>
      </w:r>
      <w:r>
        <w:rPr>
          <w:rFonts w:ascii="Arial" w:hAnsi="Arial"/>
          <w:i/>
          <w:color w:val="auto"/>
          <w:sz w:val="24"/>
          <w:szCs w:val="24"/>
        </w:rPr>
        <w:t>Eimeria</w:t>
      </w:r>
      <w:r>
        <w:rPr>
          <w:rFonts w:ascii="Arial" w:hAnsi="Arial"/>
          <w:color w:val="auto"/>
          <w:sz w:val="24"/>
          <w:szCs w:val="24"/>
        </w:rPr>
        <w:t xml:space="preserve"> genus are known to induce host immune protection against reinfection (Rose, Hesketh, and Wakelin 1992; Smith and Hayday 2000). To ensure that our mice were </w:t>
      </w:r>
      <w:r>
        <w:rPr>
          <w:rFonts w:ascii="Arial" w:hAnsi="Arial"/>
          <w:i/>
          <w:color w:val="auto"/>
          <w:sz w:val="24"/>
          <w:szCs w:val="24"/>
        </w:rPr>
        <w:t>Eimeria</w:t>
      </w:r>
      <w:r>
        <w:rPr>
          <w:rFonts w:ascii="Arial" w:hAnsi="Arial"/>
          <w:color w:val="auto"/>
          <w:sz w:val="24"/>
          <w:szCs w:val="24"/>
        </w:rPr>
        <w:t xml:space="preserve">-naive, mouse fecal samples were tested before infection for the presence of </w:t>
      </w:r>
      <w:r>
        <w:rPr>
          <w:rFonts w:ascii="Arial" w:hAnsi="Arial"/>
          <w:i/>
          <w:color w:val="auto"/>
          <w:sz w:val="24"/>
          <w:szCs w:val="24"/>
        </w:rPr>
        <w:t>Eimeria</w:t>
      </w:r>
      <w:r>
        <w:rPr>
          <w:rFonts w:ascii="Arial" w:hAnsi="Arial"/>
          <w:color w:val="auto"/>
          <w:sz w:val="24"/>
          <w:szCs w:val="24"/>
        </w:rPr>
        <w:t xml:space="preserve"> spp. oocysts by flotation in saturated NaCl solution followed by washing and observation under light microscope.</w:t>
      </w:r>
    </w:p>
    <w:p>
      <w:pPr>
        <w:pStyle w:val="Heading2"/>
        <w:spacing w:lineRule="auto" w:line="480" w:before="0" w:after="283"/>
        <w:jc w:val="both"/>
        <w:rPr>
          <w:rFonts w:ascii="Arial" w:hAnsi="Arial"/>
          <w:color w:val="auto"/>
          <w:sz w:val="24"/>
          <w:szCs w:val="24"/>
        </w:rPr>
      </w:pPr>
      <w:bookmarkStart w:id="7" w:name="experimental-infection"/>
      <w:r>
        <w:rPr>
          <w:rFonts w:ascii="Arial" w:hAnsi="Arial"/>
          <w:color w:val="auto"/>
          <w:sz w:val="24"/>
          <w:szCs w:val="24"/>
        </w:rPr>
        <w:t>Experimental infection</w:t>
      </w:r>
      <w:bookmarkEnd w:id="7"/>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Mice were kept in individual cages during infection. Water and food (SNIFF, Rat/Mouse maintenance feed 10 mm) were provided </w:t>
      </w:r>
      <w:r>
        <w:rPr>
          <w:rFonts w:ascii="Arial" w:hAnsi="Arial"/>
          <w:i/>
          <w:color w:val="auto"/>
          <w:sz w:val="24"/>
          <w:szCs w:val="24"/>
        </w:rPr>
        <w:t>ad libitum</w:t>
      </w:r>
      <w:r>
        <w:rPr>
          <w:rFonts w:ascii="Arial" w:hAnsi="Arial"/>
          <w:color w:val="auto"/>
          <w:sz w:val="24"/>
          <w:szCs w:val="24"/>
        </w:rPr>
        <w:t xml:space="preserve"> supplemented with 1 g of sunflower and barley seeds per day. Mice were orally infected with 150 sporulated oocysts of one </w:t>
      </w:r>
      <w:r>
        <w:rPr>
          <w:rFonts w:ascii="Arial" w:hAnsi="Arial"/>
          <w:i/>
          <w:color w:val="auto"/>
          <w:sz w:val="24"/>
          <w:szCs w:val="24"/>
        </w:rPr>
        <w:t>Eimeria</w:t>
      </w:r>
      <w:r>
        <w:rPr>
          <w:rFonts w:ascii="Arial" w:hAnsi="Arial"/>
          <w:color w:val="auto"/>
          <w:sz w:val="24"/>
          <w:szCs w:val="24"/>
        </w:rPr>
        <w:t xml:space="preserve"> isolate suspended in 100</w:t>
      </w:r>
      <w:r>
        <w:rPr/>
      </w:r>
      <m:oMath xmlns:m="http://schemas.openxmlformats.org/officeDocument/2006/math">
        <m:r>
          <w:rPr>
            <w:rFonts w:ascii="Cambria Math" w:hAnsi="Cambria Math"/>
          </w:rPr>
          <m:t xml:space="preserve">μ</m:t>
        </m:r>
      </m:oMath>
      <w:r>
        <w:rPr>
          <w:rFonts w:ascii="Arial" w:hAnsi="Arial"/>
          <w:color w:val="auto"/>
          <w:sz w:val="24"/>
          <w:szCs w:val="24"/>
        </w:rPr>
        <w:t>l phosphate-buffer saline (PBS) and monitored daily until their sacrifice by cervical dislocation at time of regression of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w:t>
      </w:r>
    </w:p>
    <w:p>
      <w:pPr>
        <w:pStyle w:val="TextBody"/>
        <w:spacing w:lineRule="auto" w:line="480" w:before="0" w:after="283"/>
        <w:jc w:val="both"/>
        <w:rPr/>
      </w:pPr>
      <w:r>
        <w:rPr>
          <w:rFonts w:ascii="Arial" w:hAnsi="Arial"/>
          <w:color w:val="auto"/>
          <w:sz w:val="24"/>
          <w:szCs w:val="24"/>
        </w:rPr>
        <w:t xml:space="preserve">All individuals were negative for </w:t>
      </w:r>
      <w:r>
        <w:rPr>
          <w:rFonts w:ascii="Arial" w:hAnsi="Arial"/>
          <w:i/>
          <w:color w:val="auto"/>
          <w:sz w:val="24"/>
          <w:szCs w:val="24"/>
        </w:rPr>
        <w:t>Eimeria</w:t>
      </w:r>
      <w:r>
        <w:rPr>
          <w:rFonts w:ascii="Arial" w:hAnsi="Arial"/>
          <w:color w:val="auto"/>
          <w:sz w:val="24"/>
          <w:szCs w:val="24"/>
        </w:rPr>
        <w:t xml:space="preserve"> at the beginning of our experiment (before infection of first batch, as described in the next paragraph). In total, </w:t>
      </w:r>
      <w:r>
        <w:rPr>
          <w:rFonts w:ascii="Arial" w:hAnsi="Arial"/>
          <w:color w:val="auto"/>
          <w:sz w:val="24"/>
          <w:szCs w:val="24"/>
          <w:highlight w:val="yellow"/>
        </w:rPr>
        <w:t>1</w:t>
      </w:r>
      <w:r>
        <w:rPr>
          <w:rFonts w:ascii="Arial" w:hAnsi="Arial"/>
          <w:color w:val="auto"/>
          <w:sz w:val="24"/>
          <w:szCs w:val="24"/>
          <w:highlight w:val="yellow"/>
        </w:rPr>
        <w:t>4</w:t>
      </w:r>
      <w:r>
        <w:rPr>
          <w:rFonts w:ascii="Arial" w:hAnsi="Arial"/>
          <w:color w:val="auto"/>
          <w:sz w:val="24"/>
          <w:szCs w:val="24"/>
          <w:highlight w:val="yellow"/>
        </w:rPr>
        <w:t>3</w:t>
      </w:r>
      <w:r>
        <w:rPr>
          <w:rFonts w:ascii="Arial" w:hAnsi="Arial"/>
          <w:color w:val="auto"/>
          <w:sz w:val="24"/>
          <w:szCs w:val="24"/>
          <w:highlight w:val="yellow"/>
        </w:rPr>
        <w:t xml:space="preserve"> mice </w:t>
      </w:r>
      <w:r>
        <w:rPr>
          <w:rFonts w:ascii="Arial" w:hAnsi="Arial"/>
          <w:color w:val="auto"/>
          <w:sz w:val="24"/>
          <w:szCs w:val="24"/>
        </w:rPr>
        <w:t xml:space="preserve">were infected. Mice were randomly allocated to experimental groups ensuring homogeneous distribution of ages and sexes between groups. Our experiments were conducted in four (partially overlapping) consecutive batches for logistical reasons. The first two batches were infected with </w:t>
      </w:r>
      <w:r>
        <w:rPr>
          <w:rFonts w:ascii="Arial" w:hAnsi="Arial"/>
          <w:i/>
          <w:color w:val="auto"/>
          <w:sz w:val="24"/>
          <w:szCs w:val="24"/>
        </w:rPr>
        <w:t>E. ferrisi</w:t>
      </w:r>
      <w:r>
        <w:rPr>
          <w:rFonts w:ascii="Arial" w:hAnsi="Arial"/>
          <w:color w:val="auto"/>
          <w:sz w:val="24"/>
          <w:szCs w:val="24"/>
        </w:rPr>
        <w:t xml:space="preserve"> isolates (Brandenburg64), the third and fourth by one </w:t>
      </w:r>
      <w:r>
        <w:rPr>
          <w:rFonts w:ascii="Arial" w:hAnsi="Arial"/>
          <w:i/>
          <w:color w:val="auto"/>
          <w:sz w:val="24"/>
          <w:szCs w:val="24"/>
        </w:rPr>
        <w:t>E. ferrisi</w:t>
      </w:r>
      <w:r>
        <w:rPr>
          <w:rFonts w:ascii="Arial" w:hAnsi="Arial"/>
          <w:color w:val="auto"/>
          <w:sz w:val="24"/>
          <w:szCs w:val="24"/>
        </w:rPr>
        <w:t xml:space="preserve"> isolate (Brandenburg64) and one </w:t>
      </w:r>
      <w:r>
        <w:rPr>
          <w:rFonts w:ascii="Arial" w:hAnsi="Arial"/>
          <w:i/>
          <w:color w:val="auto"/>
          <w:sz w:val="24"/>
          <w:szCs w:val="24"/>
        </w:rPr>
        <w:t>E. falciformis</w:t>
      </w:r>
      <w:r>
        <w:rPr>
          <w:rFonts w:ascii="Arial" w:hAnsi="Arial"/>
          <w:color w:val="auto"/>
          <w:sz w:val="24"/>
          <w:szCs w:val="24"/>
        </w:rPr>
        <w:t xml:space="preserve"> isolate (Brandenburg88). Our experimental design is summarized in </w:t>
      </w:r>
      <w:r>
        <w:rPr>
          <w:rFonts w:ascii="Arial" w:hAnsi="Arial"/>
          <w:b/>
          <w:color w:val="auto"/>
          <w:sz w:val="24"/>
          <w:szCs w:val="24"/>
          <w:highlight w:val="yellow"/>
        </w:rPr>
        <w:t>Table 1</w:t>
      </w:r>
      <w:r>
        <w:rPr>
          <w:rFonts w:ascii="Arial" w:hAnsi="Arial"/>
          <w:color w:val="auto"/>
          <w:sz w:val="24"/>
          <w:szCs w:val="24"/>
        </w:rPr>
        <w:t xml:space="preserve"> (chronology of experimental batches can be scrutinized in </w:t>
      </w:r>
      <w:r>
        <w:rPr>
          <w:rFonts w:ascii="Arial" w:hAnsi="Arial"/>
          <w:b/>
          <w:bCs/>
          <w:color w:val="auto"/>
          <w:sz w:val="24"/>
          <w:szCs w:val="24"/>
          <w:highlight w:val="yellow"/>
        </w:rPr>
        <w:t>Appendix 1</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Nematode infection is common in breeding facilities (Baker, 1998) and could interact with </w:t>
      </w:r>
      <w:r>
        <w:rPr>
          <w:rFonts w:ascii="Arial" w:hAnsi="Arial"/>
          <w:i/>
          <w:color w:val="auto"/>
          <w:sz w:val="24"/>
          <w:szCs w:val="24"/>
        </w:rPr>
        <w:t>Eimeria</w:t>
      </w:r>
      <w:r>
        <w:rPr>
          <w:rFonts w:ascii="Arial" w:hAnsi="Arial"/>
          <w:color w:val="auto"/>
          <w:sz w:val="24"/>
          <w:szCs w:val="24"/>
        </w:rPr>
        <w:t xml:space="preserve"> (Clerc et al. 2019). We surveyed for their presence and nematode eggs </w:t>
      </w:r>
      <w:r>
        <w:rPr>
          <w:rFonts w:ascii="Arial" w:hAnsi="Arial"/>
          <w:color w:val="auto"/>
          <w:sz w:val="24"/>
          <w:szCs w:val="24"/>
          <w:highlight w:val="yellow"/>
        </w:rPr>
        <w:t>(</w:t>
      </w:r>
      <w:r>
        <w:rPr>
          <w:rFonts w:ascii="Arial" w:hAnsi="Arial"/>
          <w:i/>
          <w:iCs/>
          <w:color w:val="auto"/>
          <w:sz w:val="24"/>
          <w:szCs w:val="24"/>
          <w:highlight w:val="yellow"/>
        </w:rPr>
        <w:t>Syphacia</w:t>
      </w:r>
      <w:r>
        <w:rPr>
          <w:rFonts w:ascii="Arial" w:hAnsi="Arial"/>
          <w:color w:val="auto"/>
          <w:sz w:val="24"/>
          <w:szCs w:val="24"/>
          <w:highlight w:val="yellow"/>
        </w:rPr>
        <w:t xml:space="preserve"> sp. and </w:t>
      </w:r>
      <w:r>
        <w:rPr>
          <w:rFonts w:ascii="Arial" w:hAnsi="Arial"/>
          <w:i/>
          <w:iCs/>
          <w:color w:val="auto"/>
          <w:sz w:val="24"/>
          <w:szCs w:val="24"/>
          <w:highlight w:val="yellow"/>
        </w:rPr>
        <w:t>Aspiculuris</w:t>
      </w:r>
      <w:r>
        <w:rPr>
          <w:rFonts w:ascii="Arial" w:hAnsi="Arial"/>
          <w:color w:val="auto"/>
          <w:sz w:val="24"/>
          <w:szCs w:val="24"/>
          <w:highlight w:val="yellow"/>
        </w:rPr>
        <w:t xml:space="preserve"> sp.)</w:t>
      </w:r>
      <w:r>
        <w:rPr>
          <w:rFonts w:ascii="Arial" w:hAnsi="Arial"/>
          <w:color w:val="auto"/>
          <w:sz w:val="24"/>
          <w:szCs w:val="24"/>
        </w:rPr>
        <w:t xml:space="preserve"> were observed in flotated feces of mice belonging to all genotypes before the experiment. Despite treatment of the first infection batch of mice (B1, </w:t>
      </w:r>
      <w:r>
        <w:rPr>
          <w:rFonts w:ascii="Arial" w:hAnsi="Arial"/>
          <w:color w:val="auto"/>
          <w:sz w:val="24"/>
          <w:szCs w:val="24"/>
          <w:highlight w:val="yellow"/>
        </w:rPr>
        <w:t>1</w:t>
      </w:r>
      <w:r>
        <w:rPr>
          <w:rFonts w:ascii="Arial" w:hAnsi="Arial"/>
          <w:color w:val="auto"/>
          <w:sz w:val="24"/>
          <w:szCs w:val="24"/>
          <w:highlight w:val="yellow"/>
        </w:rPr>
        <w:t>2</w:t>
      </w:r>
      <w:r>
        <w:rPr>
          <w:rFonts w:ascii="Arial" w:hAnsi="Arial"/>
          <w:color w:val="auto"/>
          <w:sz w:val="24"/>
          <w:szCs w:val="24"/>
        </w:rPr>
        <w:t xml:space="preserve"> mice) with anthelminthics (Profender®, Bayer AG, Levekusen, Germany) following the protocole of Mehlhorn et al. (2005), nematodes were still detected with PCR (following the protocole of (Floyd et al. 2005)) in randomly sampled fecal samples a week later. We therefore decided not to treat mice of the following infection batches. Moreover, we observed </w:t>
      </w:r>
      <w:r>
        <w:rPr>
          <w:rFonts w:ascii="Arial" w:hAnsi="Arial"/>
          <w:i/>
          <w:color w:val="auto"/>
          <w:sz w:val="24"/>
          <w:szCs w:val="24"/>
        </w:rPr>
        <w:t>Eimeria</w:t>
      </w:r>
      <w:r>
        <w:rPr>
          <w:rFonts w:ascii="Arial" w:hAnsi="Arial"/>
          <w:color w:val="auto"/>
          <w:sz w:val="24"/>
          <w:szCs w:val="24"/>
        </w:rPr>
        <w:t xml:space="preserve"> oocysts in the feces of 28 mice belonging to the last experimental batch (batch B4) at the day of infection, likely due to cross-contamination between batches. For following statistical analyses, we considered along with the full data set (N=</w:t>
      </w:r>
      <w:r>
        <w:rPr>
          <w:rFonts w:ascii="Arial" w:hAnsi="Arial"/>
          <w:color w:val="auto"/>
          <w:sz w:val="24"/>
          <w:szCs w:val="24"/>
          <w:highlight w:val="yellow"/>
        </w:rPr>
        <w:t>1</w:t>
      </w:r>
      <w:r>
        <w:rPr>
          <w:rFonts w:ascii="Arial" w:hAnsi="Arial"/>
          <w:color w:val="auto"/>
          <w:sz w:val="24"/>
          <w:szCs w:val="24"/>
          <w:highlight w:val="yellow"/>
        </w:rPr>
        <w:t>43</w:t>
      </w:r>
      <w:r>
        <w:rPr>
          <w:rFonts w:ascii="Arial" w:hAnsi="Arial"/>
          <w:color w:val="auto"/>
          <w:sz w:val="24"/>
          <w:szCs w:val="24"/>
        </w:rPr>
        <w:t>) a conservative data set in which cross-contaminated animals and animals treated by anthelminthic were removed (N=</w:t>
      </w:r>
      <w:r>
        <w:rPr>
          <w:rFonts w:ascii="Arial" w:hAnsi="Arial"/>
          <w:color w:val="auto"/>
          <w:sz w:val="24"/>
          <w:szCs w:val="24"/>
          <w:highlight w:val="yellow"/>
        </w:rPr>
        <w:t>1</w:t>
      </w:r>
      <w:r>
        <w:rPr>
          <w:rFonts w:ascii="Arial" w:hAnsi="Arial"/>
          <w:color w:val="auto"/>
          <w:sz w:val="24"/>
          <w:szCs w:val="24"/>
          <w:highlight w:val="yellow"/>
        </w:rPr>
        <w:t>03</w:t>
      </w:r>
      <w:r>
        <w:rPr>
          <w:rFonts w:ascii="Arial" w:hAnsi="Arial"/>
          <w:color w:val="auto"/>
          <w:sz w:val="24"/>
          <w:szCs w:val="24"/>
        </w:rPr>
        <w:t xml:space="preserve">). Results obtained on the conservative data set can be found in </w:t>
      </w:r>
      <w:r>
        <w:rPr>
          <w:rFonts w:ascii="Arial" w:hAnsi="Arial"/>
          <w:b/>
          <w:color w:val="auto"/>
          <w:sz w:val="24"/>
          <w:szCs w:val="24"/>
          <w:highlight w:val="blue"/>
        </w:rPr>
        <w:t>Supplementary Material S2</w:t>
      </w:r>
      <w:r>
        <w:rPr>
          <w:rFonts w:ascii="Arial" w:hAnsi="Arial"/>
          <w:color w:val="auto"/>
          <w:sz w:val="24"/>
          <w:szCs w:val="24"/>
        </w:rPr>
        <w:t>. Despite differences in significance due to a lower statistical power, the main conclusions of our analyses were consistent with those obtained on the main data set.</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4. </w:t>
      </w:r>
      <w:bookmarkStart w:id="8" w:name="statistical-analyses"/>
      <w:r>
        <w:rPr>
          <w:rFonts w:ascii="Arial" w:hAnsi="Arial"/>
          <w:color w:val="auto"/>
          <w:sz w:val="24"/>
          <w:szCs w:val="24"/>
        </w:rPr>
        <w:t>Statistical analyses</w:t>
      </w:r>
      <w:bookmarkEnd w:id="8"/>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4.1. </w:t>
      </w:r>
      <w:bookmarkStart w:id="9" w:name="choice-of-proxies-for-resistance-impact-"/>
      <w:r>
        <w:rPr>
          <w:rFonts w:ascii="Arial" w:hAnsi="Arial"/>
          <w:color w:val="auto"/>
          <w:sz w:val="24"/>
          <w:szCs w:val="24"/>
        </w:rPr>
        <w:t>Choice of proxies for resistance, impact of parasite on host and tolerance</w:t>
      </w:r>
      <w:bookmarkEnd w:id="9"/>
    </w:p>
    <w:p>
      <w:pPr>
        <w:pStyle w:val="FirstParagraph"/>
        <w:spacing w:lineRule="auto" w:line="480" w:before="0" w:after="283"/>
        <w:jc w:val="both"/>
        <w:rPr/>
      </w:pPr>
      <w:r>
        <w:rPr>
          <w:rFonts w:ascii="Arial" w:hAnsi="Arial"/>
          <w:color w:val="auto"/>
          <w:sz w:val="24"/>
          <w:szCs w:val="24"/>
        </w:rPr>
        <w:t xml:space="preserve">As resistance is the capacity of a host to reduce its parasite burden, it is usually estimated by the inverse of infection intensity (Råberg et al. 2009). Pre-patency (the time to shedding of infectious stages, so called oocysts) is longer for </w:t>
      </w:r>
      <w:r>
        <w:rPr>
          <w:rFonts w:ascii="Arial" w:hAnsi="Arial"/>
          <w:i/>
          <w:color w:val="auto"/>
          <w:sz w:val="24"/>
          <w:szCs w:val="24"/>
        </w:rPr>
        <w:t>E. falciformis</w:t>
      </w:r>
      <w:r>
        <w:rPr>
          <w:rFonts w:ascii="Arial" w:hAnsi="Arial"/>
          <w:color w:val="auto"/>
          <w:sz w:val="24"/>
          <w:szCs w:val="24"/>
        </w:rPr>
        <w:t xml:space="preserve"> (7 days) than for </w:t>
      </w:r>
      <w:r>
        <w:rPr>
          <w:rFonts w:ascii="Arial" w:hAnsi="Arial"/>
          <w:i/>
          <w:color w:val="auto"/>
          <w:sz w:val="24"/>
          <w:szCs w:val="24"/>
        </w:rPr>
        <w:t>E. ferrisi</w:t>
      </w:r>
      <w:r>
        <w:rPr>
          <w:rFonts w:ascii="Arial" w:hAnsi="Arial"/>
          <w:color w:val="auto"/>
          <w:sz w:val="24"/>
          <w:szCs w:val="24"/>
        </w:rPr>
        <w:t xml:space="preserve"> (5 days) (Al-khlifeh et al. 2019). Therefore, as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w:t>
      </w:r>
      <w:r>
        <w:rPr/>
      </w:r>
      <m:oMath xmlns:m="http://schemas.openxmlformats.org/officeDocument/2006/math">
        <m:r>
          <w:rPr>
            <w:rFonts w:ascii="Cambria Math" w:hAnsi="Cambria Math"/>
          </w:rPr>
          <m:t xml:space="preserve">ρ</m:t>
        </m:r>
      </m:oMath>
      <w:r>
        <w:rPr>
          <w:rFonts w:ascii="Arial" w:hAnsi="Arial"/>
          <w:color w:val="auto"/>
          <w:sz w:val="24"/>
          <w:szCs w:val="24"/>
        </w:rPr>
        <w:t>=0.93, N=168, P&lt;0.001). Due to the aggregation characteristic of parasites (Shaw and Dobson 1995), the appropriate distribution for maximum number of OPG was found to be the negative binomial distribution. This was confirmed based on log likelihood, AIC criteria and goodness-of-fits plots (density, CDF, Q-Q, P-P plots; R packages MASS (Venables &amp; Ripley 2002) and fitdistrplus (Delignette-Muller &amp; Dutang 2015)).</w:t>
      </w:r>
    </w:p>
    <w:p>
      <w:pPr>
        <w:pStyle w:val="TextBody"/>
        <w:spacing w:lineRule="auto" w:line="480" w:before="0" w:after="283"/>
        <w:jc w:val="both"/>
        <w:rPr>
          <w:rFonts w:ascii="Arial" w:hAnsi="Arial"/>
          <w:color w:val="auto"/>
          <w:sz w:val="24"/>
          <w:szCs w:val="24"/>
        </w:rPr>
      </w:pPr>
      <w:r>
        <w:rPr>
          <w:rFonts w:ascii="Arial" w:hAnsi="Arial"/>
          <w:color w:val="auto"/>
          <w:sz w:val="24"/>
          <w:szCs w:val="24"/>
        </w:rPr>
        <w:t>Both parasite species provoke inflammation, cellular infiltration, enteric lesions, diarrhea, and ultimately weight loss (Ankrom, Chobotar, and Ernst 1975; Ehret et al. 2017; Schito, Barta, and Chobotar 1996; Al-khlifeh et al. 2019). Therefore, the impact of parasites on host health was measured as the maximum relative weight loss compared to day 0 (body weight measured at the start of the experimental infection).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w:t>
      </w:r>
    </w:p>
    <w:p>
      <w:pPr>
        <w:pStyle w:val="TextBody"/>
        <w:spacing w:lineRule="auto" w:line="480" w:before="0" w:after="283"/>
        <w:jc w:val="both"/>
        <w:rPr/>
      </w:pPr>
      <w:r>
        <w:rPr>
          <w:rFonts w:ascii="Arial" w:hAnsi="Arial"/>
          <w:color w:val="auto"/>
          <w:sz w:val="24"/>
          <w:szCs w:val="24"/>
        </w:rPr>
        <w:t>Tolerance is usually defined as a reaction norm, i.e. the regression slope of host fitness (or health condition if that is the parameter of interest) on infection intensity per host genotype (Simms 2000; Råberg et al. 2009). Thus tolerance was assessed as the slope of maximum relative weight loss compared to day 0 on number of OPG at the day of maximal shedding, within each mouse group and for each parasite isolate. A steep slope indicates a low tolerance (high weight lost for a given parasite burden).</w:t>
      </w:r>
    </w:p>
    <w:p>
      <w:pPr>
        <w:pStyle w:val="Heading3"/>
        <w:spacing w:lineRule="auto" w:line="480" w:before="0" w:after="283"/>
        <w:jc w:val="both"/>
        <w:rPr/>
      </w:pPr>
      <w:r>
        <w:rPr>
          <w:rFonts w:ascii="Arial" w:hAnsi="Arial"/>
          <w:color w:val="auto"/>
          <w:sz w:val="24"/>
          <w:szCs w:val="24"/>
        </w:rPr>
        <w:t>4.</w:t>
      </w:r>
      <w:r>
        <w:rPr>
          <w:rFonts w:ascii="Arial" w:hAnsi="Arial"/>
          <w:color w:val="auto"/>
          <w:sz w:val="24"/>
          <w:szCs w:val="24"/>
          <w:highlight w:val="yellow"/>
        </w:rPr>
        <w:t>2</w:t>
      </w:r>
      <w:r>
        <w:rPr>
          <w:rFonts w:ascii="Arial" w:hAnsi="Arial"/>
          <w:color w:val="auto"/>
          <w:sz w:val="24"/>
          <w:szCs w:val="24"/>
        </w:rPr>
        <w:t xml:space="preserve">. </w:t>
      </w:r>
      <w:bookmarkStart w:id="10" w:name="statistical-modelling"/>
      <w:r>
        <w:rPr>
          <w:rFonts w:ascii="Arial" w:hAnsi="Arial"/>
          <w:color w:val="auto"/>
          <w:sz w:val="24"/>
          <w:szCs w:val="24"/>
        </w:rPr>
        <w:t xml:space="preserve">Statistical </w:t>
      </w:r>
      <w:bookmarkEnd w:id="10"/>
      <w:r>
        <w:rPr>
          <w:rFonts w:ascii="Arial" w:hAnsi="Arial"/>
          <w:color w:val="auto"/>
          <w:sz w:val="24"/>
          <w:szCs w:val="24"/>
          <w:highlight w:val="yellow"/>
        </w:rPr>
        <w:t>comparison</w:t>
      </w:r>
      <w:r>
        <w:rPr>
          <w:rFonts w:ascii="Arial" w:hAnsi="Arial"/>
          <w:color w:val="auto"/>
          <w:sz w:val="24"/>
          <w:szCs w:val="24"/>
          <w:highlight w:val="yellow"/>
        </w:rPr>
        <w:t xml:space="preserve"> </w:t>
      </w:r>
      <w:r>
        <w:rPr>
          <w:rFonts w:ascii="Arial" w:hAnsi="Arial"/>
          <w:color w:val="auto"/>
          <w:sz w:val="24"/>
          <w:szCs w:val="24"/>
          <w:highlight w:val="yellow"/>
        </w:rPr>
        <w:t xml:space="preserve">of resistance, impact on health and tolerance in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t>
      </w:r>
    </w:p>
    <w:p>
      <w:pPr>
        <w:pStyle w:val="FirstParagraph"/>
        <w:spacing w:lineRule="auto" w:line="480" w:before="0" w:after="283"/>
        <w:jc w:val="both"/>
        <w:rPr/>
      </w:pPr>
      <w:r>
        <w:rPr>
          <w:rFonts w:ascii="Arial" w:hAnsi="Arial"/>
          <w:color w:val="auto"/>
          <w:sz w:val="24"/>
          <w:szCs w:val="24"/>
          <w:highlight w:val="yellow"/>
        </w:rPr>
        <w:t>The comparison between</w:t>
      </w:r>
      <w:r>
        <w:rPr>
          <w:rFonts w:ascii="Arial" w:hAnsi="Arial"/>
          <w:color w:val="auto"/>
          <w:sz w:val="24"/>
          <w:szCs w:val="24"/>
          <w:highlight w:val="yellow"/>
        </w:rPr>
        <w:t xml:space="preserve">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t>
      </w:r>
      <w:r>
        <w:rPr>
          <w:rFonts w:ascii="Arial" w:hAnsi="Arial"/>
          <w:color w:val="auto"/>
          <w:sz w:val="24"/>
          <w:szCs w:val="24"/>
          <w:highlight w:val="yellow"/>
        </w:rPr>
        <w:t xml:space="preserve">was performed </w:t>
      </w:r>
      <w:r>
        <w:rPr>
          <w:rFonts w:ascii="Arial" w:hAnsi="Arial"/>
          <w:color w:val="auto"/>
          <w:sz w:val="24"/>
          <w:szCs w:val="24"/>
          <w:highlight w:val="yellow"/>
        </w:rPr>
        <w:t xml:space="preserve">using </w:t>
      </w:r>
      <w:r>
        <w:rPr>
          <w:rFonts w:ascii="Arial" w:hAnsi="Arial"/>
          <w:color w:val="auto"/>
          <w:sz w:val="24"/>
          <w:szCs w:val="24"/>
          <w:highlight w:val="yellow"/>
        </w:rPr>
        <w:t xml:space="preserve">respectively </w:t>
      </w:r>
      <w:r>
        <w:rPr>
          <w:rFonts w:ascii="Arial" w:hAnsi="Arial"/>
          <w:color w:val="auto"/>
          <w:sz w:val="24"/>
          <w:szCs w:val="24"/>
          <w:highlight w:val="yellow"/>
        </w:rPr>
        <w:t xml:space="preserve">the isolates Brandenburg64 and Brandenburg88 </w:t>
      </w:r>
      <w:r>
        <w:rPr>
          <w:rFonts w:ascii="Arial" w:hAnsi="Arial"/>
          <w:color w:val="auto"/>
          <w:sz w:val="24"/>
          <w:szCs w:val="24"/>
          <w:highlight w:val="yellow"/>
        </w:rPr>
        <w:t>with which we infected all</w:t>
      </w:r>
      <w:r>
        <w:rPr>
          <w:rFonts w:ascii="Arial" w:hAnsi="Arial"/>
          <w:color w:val="auto"/>
          <w:sz w:val="24"/>
          <w:szCs w:val="24"/>
          <w:highlight w:val="yellow"/>
        </w:rPr>
        <w:t xml:space="preserve"> our eight mouse groups </w:t>
      </w:r>
      <w:r>
        <w:rPr>
          <w:rFonts w:ascii="Arial" w:hAnsi="Arial"/>
          <w:color w:val="auto"/>
          <w:sz w:val="24"/>
          <w:szCs w:val="24"/>
          <w:highlight w:val="yellow"/>
        </w:rPr>
        <w:t xml:space="preserve">(see </w:t>
      </w:r>
      <w:r>
        <w:rPr>
          <w:rFonts w:ascii="Arial" w:hAnsi="Arial"/>
          <w:b/>
          <w:bCs/>
          <w:color w:val="auto"/>
          <w:sz w:val="24"/>
          <w:szCs w:val="24"/>
          <w:highlight w:val="yellow"/>
        </w:rPr>
        <w:t>T</w:t>
      </w:r>
      <w:r>
        <w:rPr>
          <w:rFonts w:ascii="Arial" w:hAnsi="Arial"/>
          <w:b/>
          <w:bCs/>
          <w:color w:val="auto"/>
          <w:sz w:val="24"/>
          <w:szCs w:val="24"/>
          <w:highlight w:val="yellow"/>
        </w:rPr>
        <w:t xml:space="preserve">able </w:t>
      </w:r>
      <w:r>
        <w:rPr>
          <w:rFonts w:ascii="Arial" w:hAnsi="Arial"/>
          <w:b/>
          <w:bCs/>
          <w:color w:val="auto"/>
          <w:sz w:val="24"/>
          <w:szCs w:val="24"/>
          <w:highlight w:val="yellow"/>
        </w:rPr>
        <w:t>1</w:t>
      </w:r>
      <w:r>
        <w:rPr>
          <w:rFonts w:ascii="Arial" w:hAnsi="Arial"/>
          <w:color w:val="auto"/>
          <w:sz w:val="24"/>
          <w:szCs w:val="24"/>
          <w:highlight w:val="yellow"/>
        </w:rPr>
        <w:t>)</w:t>
      </w:r>
      <w:r>
        <w:rPr>
          <w:rFonts w:ascii="Arial" w:hAnsi="Arial"/>
          <w:color w:val="auto"/>
          <w:sz w:val="24"/>
          <w:szCs w:val="24"/>
          <w:highlight w:val="yellow"/>
        </w:rPr>
        <w:t xml:space="preserve">. </w:t>
      </w:r>
      <w:r>
        <w:rPr>
          <w:rFonts w:ascii="Arial" w:hAnsi="Arial"/>
          <w:color w:val="auto"/>
          <w:sz w:val="24"/>
          <w:szCs w:val="24"/>
        </w:rPr>
        <w:t>Maximum OPG and relative weight loss were modelled separately as a response o</w:t>
      </w:r>
      <w:r>
        <w:rPr>
          <w:rFonts w:ascii="Arial" w:hAnsi="Arial"/>
          <w:color w:val="auto"/>
          <w:sz w:val="24"/>
          <w:szCs w:val="24"/>
          <w:highlight w:val="yellow"/>
        </w:rPr>
        <w:t>f  m</w:t>
      </w:r>
      <w:r>
        <w:rPr>
          <w:rFonts w:ascii="Arial" w:hAnsi="Arial"/>
          <w:color w:val="auto"/>
          <w:sz w:val="24"/>
          <w:szCs w:val="24"/>
        </w:rPr>
        <w:t xml:space="preserve">ouse group,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w:t>
      </w:r>
      <w:r>
        <w:rPr>
          <w:rFonts w:ascii="Arial" w:hAnsi="Arial"/>
          <w:color w:val="auto"/>
          <w:sz w:val="24"/>
          <w:szCs w:val="24"/>
          <w:highlight w:val="yellow"/>
        </w:rPr>
        <w:t>with</w:t>
      </w:r>
      <w:r>
        <w:rPr>
          <w:rFonts w:ascii="Arial" w:hAnsi="Arial"/>
          <w:color w:val="auto"/>
          <w:sz w:val="24"/>
          <w:szCs w:val="24"/>
        </w:rPr>
        <w:t xml:space="preserve"> mouse group, parasite isolate and their interaction. To test the significance of the marginal contribution of each parameter to the full model, each parameter was removed from the full model, and the difference between full and reduced model was assessed using likelihood ratio tests (G). </w:t>
      </w:r>
    </w:p>
    <w:p>
      <w:pPr>
        <w:pStyle w:val="TextBody"/>
        <w:spacing w:lineRule="auto" w:line="480" w:before="0" w:after="283"/>
        <w:jc w:val="both"/>
        <w:rPr/>
      </w:pPr>
      <w:r>
        <w:rPr>
          <w:rFonts w:ascii="Arial" w:hAnsi="Arial"/>
          <w:strike w:val="false"/>
          <w:dstrike w:val="false"/>
          <w:color w:val="auto"/>
          <w:sz w:val="24"/>
          <w:szCs w:val="24"/>
        </w:rPr>
        <w:t>For each of our mode</w:t>
      </w:r>
      <w:r>
        <w:rPr>
          <w:rFonts w:ascii="Arial" w:hAnsi="Arial"/>
          <w:strike w:val="false"/>
          <w:dstrike w:val="false"/>
          <w:color w:val="auto"/>
          <w:sz w:val="24"/>
          <w:szCs w:val="24"/>
        </w:rPr>
        <w:t>l</w:t>
      </w:r>
      <w:r>
        <w:rPr>
          <w:rFonts w:ascii="Arial" w:hAnsi="Arial"/>
          <w:strike w:val="false"/>
          <w:dstrike w:val="false"/>
          <w:color w:val="auto"/>
          <w:sz w:val="24"/>
          <w:szCs w:val="24"/>
          <w:highlight w:val="yellow"/>
        </w:rPr>
        <w:t xml:space="preserve">s </w:t>
      </w:r>
      <w:r>
        <w:rPr>
          <w:rFonts w:eastAsia="Roboto" w:cs="Roboto" w:ascii="Arial" w:hAnsi="Arial"/>
          <w:strike w:val="false"/>
          <w:dstrike w:val="false"/>
          <w:color w:val="auto"/>
          <w:sz w:val="24"/>
          <w:szCs w:val="24"/>
          <w:highlight w:val="yellow"/>
        </w:rPr>
        <w:t>that showed a significant interaction term</w:t>
      </w:r>
      <w:r>
        <w:rPr>
          <w:rFonts w:eastAsia="Roboto" w:cs="Roboto" w:ascii="Arial" w:hAnsi="Arial"/>
          <w:strike w:val="false"/>
          <w:dstrike w:val="false"/>
          <w:color w:val="auto"/>
          <w:sz w:val="24"/>
          <w:szCs w:val="24"/>
          <w:highlight w:val="yellow"/>
        </w:rPr>
        <w:t>,</w:t>
      </w:r>
      <w:r>
        <w:rPr>
          <w:rFonts w:ascii="Arial" w:hAnsi="Arial"/>
          <w:strike w:val="false"/>
          <w:dstrike w:val="false"/>
          <w:color w:val="auto"/>
          <w:sz w:val="24"/>
          <w:szCs w:val="24"/>
        </w:rPr>
        <w:t xml:space="preserve"> we also asked within each parasite isolate if the response differed between mouse groups using likelihood ratio tests (G) as described above. </w:t>
      </w:r>
      <w:bookmarkStart w:id="11" w:name="docs-internal-guid-2b0d12ef-7fff-daee-81"/>
      <w:bookmarkEnd w:id="11"/>
      <w:r>
        <w:rPr>
          <w:rFonts w:eastAsia="Roboto" w:cs="Roboto" w:ascii="Arial" w:hAnsi="Arial"/>
          <w:b w:val="false"/>
          <w:i w:val="false"/>
          <w:caps w:val="false"/>
          <w:smallCaps w:val="false"/>
          <w:strike w:val="false"/>
          <w:dstrike w:val="false"/>
          <w:color w:val="auto"/>
          <w:sz w:val="24"/>
          <w:szCs w:val="24"/>
          <w:highlight w:val="yellow"/>
          <w:u w:val="none"/>
          <w:effect w:val="none"/>
        </w:rPr>
        <w:t>In the case of a non-significant interaction term, we performed post-hoc tests corrected for multiple testing (Tukey Honest Significant Differences (HSD)) to</w:t>
      </w:r>
      <w:r>
        <w:rPr>
          <w:rFonts w:eastAsia="Roboto" w:cs="Roboto" w:ascii="Arial" w:hAnsi="Arial"/>
          <w:b w:val="false"/>
          <w:caps w:val="false"/>
          <w:smallCaps w:val="false"/>
          <w:strike w:val="false"/>
          <w:dstrike w:val="false"/>
          <w:color w:val="auto"/>
          <w:sz w:val="24"/>
          <w:szCs w:val="24"/>
          <w:highlight w:val="yellow"/>
          <w:u w:val="none"/>
          <w:effect w:val="none"/>
        </w:rPr>
        <w:t xml:space="preserve"> </w:t>
      </w:r>
      <w:r>
        <w:rPr>
          <w:rFonts w:eastAsia="Roboto" w:cs="Roboto" w:ascii="Arial" w:hAnsi="Arial"/>
          <w:b w:val="false"/>
          <w:i w:val="false"/>
          <w:caps w:val="false"/>
          <w:smallCaps w:val="false"/>
          <w:strike w:val="false"/>
          <w:dstrike w:val="false"/>
          <w:color w:val="auto"/>
          <w:sz w:val="24"/>
          <w:szCs w:val="24"/>
          <w:highlight w:val="yellow"/>
          <w:u w:val="none"/>
          <w:effect w:val="none"/>
        </w:rPr>
        <w:t>compare within all pairwise comparisons between groups (parasite isolate-mouse strain).</w:t>
      </w:r>
    </w:p>
    <w:p>
      <w:pPr>
        <w:pStyle w:val="TextBody"/>
        <w:spacing w:lineRule="auto" w:line="480" w:before="0" w:after="283"/>
        <w:jc w:val="both"/>
        <w:rPr/>
      </w:pPr>
      <w:r>
        <w:rPr>
          <w:rFonts w:ascii="Arial" w:hAnsi="Arial"/>
          <w:color w:val="auto"/>
          <w:sz w:val="24"/>
          <w:szCs w:val="24"/>
        </w:rPr>
        <w:t xml:space="preserve">Of note, four mice infected </w:t>
      </w:r>
      <w:r>
        <w:rPr>
          <w:rFonts w:ascii="Arial" w:hAnsi="Arial"/>
          <w:color w:val="auto"/>
          <w:sz w:val="24"/>
          <w:szCs w:val="24"/>
          <w:highlight w:val="yellow"/>
        </w:rPr>
        <w:t>with</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did not shed any oocysts as death occurred at or one day before the peak of oocysts shedding in other mice. For this reason, we modelled maximum OPG </w:t>
      </w:r>
      <w:r>
        <w:rPr>
          <w:rFonts w:ascii="Arial" w:hAnsi="Arial"/>
          <w:strike w:val="false"/>
          <w:dstrike w:val="false"/>
          <w:color w:val="auto"/>
          <w:sz w:val="24"/>
          <w:szCs w:val="24"/>
          <w:highlight w:val="yellow"/>
        </w:rPr>
        <w:t xml:space="preserve">when </w:t>
      </w:r>
      <w:r>
        <w:rPr>
          <w:rFonts w:ascii="Arial" w:hAnsi="Arial"/>
          <w:strike w:val="false"/>
          <w:dstrike w:val="false"/>
          <w:color w:val="auto"/>
          <w:sz w:val="24"/>
          <w:szCs w:val="24"/>
          <w:highlight w:val="yellow"/>
        </w:rPr>
        <w:t xml:space="preserve">mice infected with this parasite </w:t>
      </w:r>
      <w:r>
        <w:rPr>
          <w:rFonts w:ascii="Arial" w:hAnsi="Arial"/>
          <w:strike w:val="false"/>
          <w:dstrike w:val="false"/>
          <w:color w:val="auto"/>
          <w:sz w:val="24"/>
          <w:szCs w:val="24"/>
          <w:highlight w:val="yellow"/>
        </w:rPr>
        <w:t>were included</w:t>
      </w:r>
      <w:r>
        <w:rPr>
          <w:rFonts w:ascii="Arial" w:hAnsi="Arial"/>
          <w:color w:val="auto"/>
          <w:sz w:val="24"/>
          <w:szCs w:val="24"/>
        </w:rPr>
        <w:t xml:space="preserve"> using a zero-inflated negative binomial (ZINB) generalised linear model, after verifying that it provided a better fit than the simple negative binomial based on log likelihood and AIC criteria.</w:t>
      </w:r>
    </w:p>
    <w:p>
      <w:pPr>
        <w:pStyle w:val="Heading3"/>
        <w:spacing w:lineRule="auto" w:line="480" w:before="0" w:after="283"/>
        <w:jc w:val="both"/>
        <w:rPr/>
      </w:pPr>
      <w:r>
        <w:rPr>
          <w:rFonts w:ascii="Arial" w:hAnsi="Arial"/>
          <w:color w:val="auto"/>
          <w:sz w:val="24"/>
          <w:szCs w:val="24"/>
        </w:rPr>
        <w:t>4.</w:t>
      </w:r>
      <w:r>
        <w:rPr>
          <w:rFonts w:ascii="Arial" w:hAnsi="Arial"/>
          <w:color w:val="auto"/>
          <w:sz w:val="24"/>
          <w:szCs w:val="24"/>
          <w:highlight w:val="yellow"/>
        </w:rPr>
        <w:t>3</w:t>
      </w:r>
      <w:r>
        <w:rPr>
          <w:rFonts w:ascii="Arial" w:hAnsi="Arial"/>
          <w:color w:val="auto"/>
          <w:sz w:val="24"/>
          <w:szCs w:val="24"/>
        </w:rPr>
        <w:t xml:space="preserve">. </w:t>
      </w:r>
      <w:bookmarkStart w:id="12" w:name="test-of-coupling-between-resistance-and-"/>
      <w:r>
        <w:rPr>
          <w:rFonts w:ascii="Arial" w:hAnsi="Arial"/>
          <w:color w:val="auto"/>
          <w:sz w:val="24"/>
          <w:szCs w:val="24"/>
        </w:rPr>
        <w:t>Test of coupling between resistance and tolerance</w:t>
      </w:r>
      <w:bookmarkEnd w:id="12"/>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using the isolates Brandenburg64 and Brandenburg88 and our eight mouse groups. To test such coupling, one can assess the strength of correlation between measure of resistance and measure of tolerance (Råberg et al 2007). Of note, tolerance (in absolute value) is measured as the slope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of the linear regression of parasite load (x) on maximum relative weight loss (y) of equation y =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being the slope and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the intercept, 0 in our case). Therefore, tolerance is expressed as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 y/x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/x. As x and y/x are by definition not independent, testing the correlation between resistance and tolerance can lead to spurious correlation (Brett 2004). To alleviate the dangers of this statistical artifact, we additionally tested differences in resistance, impact on health and tolerance between mouse groups separately </w:t>
      </w:r>
      <w:r>
        <w:rPr>
          <w:rFonts w:ascii="Arial" w:hAnsi="Arial"/>
          <w:color w:val="auto"/>
          <w:sz w:val="24"/>
          <w:szCs w:val="24"/>
          <w:highlight w:val="yellow"/>
        </w:rPr>
        <w:t>(as described before, see 4.</w:t>
      </w:r>
      <w:r>
        <w:rPr>
          <w:rFonts w:ascii="Arial" w:hAnsi="Arial"/>
          <w:color w:val="auto"/>
          <w:sz w:val="24"/>
          <w:szCs w:val="24"/>
          <w:highlight w:val="yellow"/>
        </w:rPr>
        <w:t>2</w:t>
      </w:r>
      <w:r>
        <w:rPr>
          <w:rFonts w:ascii="Arial" w:hAnsi="Arial"/>
          <w:color w:val="auto"/>
          <w:sz w:val="24"/>
          <w:szCs w:val="24"/>
          <w:highlight w:val="yellow"/>
        </w:rPr>
        <w:t>)</w:t>
      </w:r>
      <w:r>
        <w:rPr>
          <w:rFonts w:ascii="Arial" w:hAnsi="Arial"/>
          <w:color w:val="auto"/>
          <w:sz w:val="24"/>
          <w:szCs w:val="24"/>
        </w:rPr>
        <w:t xml:space="preserve"> </w:t>
      </w:r>
      <w:r>
        <w:rPr>
          <w:rFonts w:ascii="Arial" w:hAnsi="Arial"/>
          <w:color w:val="auto"/>
          <w:sz w:val="24"/>
          <w:szCs w:val="24"/>
        </w:rPr>
        <w:t xml:space="preserve">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Correlations were tested using Spearman’s rank correlation. </w:t>
      </w:r>
      <w:r>
        <w:rPr>
          <w:rFonts w:ascii="Arial" w:hAnsi="Arial"/>
          <w:color w:val="auto"/>
          <w:sz w:val="24"/>
          <w:szCs w:val="24"/>
          <w:highlight w:val="blue"/>
        </w:rPr>
        <w:t>Add sentence on test BETWEEN both parasites</w:t>
      </w:r>
    </w:p>
    <w:p>
      <w:pPr>
        <w:pStyle w:val="TextBody"/>
        <w:spacing w:lineRule="auto" w:line="480" w:before="0" w:after="283"/>
        <w:jc w:val="both"/>
        <w:rPr/>
      </w:pPr>
      <w:r>
        <w:rPr>
          <w:rFonts w:ascii="Arial" w:hAnsi="Arial"/>
          <w:color w:val="auto"/>
          <w:sz w:val="24"/>
          <w:szCs w:val="24"/>
        </w:rPr>
        <w:t>All analyses were performed using R version 3.5.2 (R Development Core Team 2013)(negative binomial: function glm.nb from R package MASS (Venables and Ripley 2002); ZIBN: function zeroinfl from R package pscl (Jackman 2020; Zeileis, Kleiber, and Jackman 2008); linear model: function lm from R core package stats; mean and 95% confidence intervals: function ggpredict from R package ggeffect (Lüdecke 2018)). Graphics were produced using the R package ggplot2 (Wickham 2016) and compiled using the free software inkscape (</w:t>
      </w:r>
      <w:hyperlink r:id="rId4">
        <w:r>
          <w:rPr>
            <w:rStyle w:val="InternetLink"/>
            <w:rFonts w:ascii="Arial" w:hAnsi="Arial"/>
            <w:color w:val="auto"/>
            <w:sz w:val="24"/>
            <w:szCs w:val="24"/>
          </w:rPr>
          <w:t>https://inkscape.org</w:t>
        </w:r>
      </w:hyperlink>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13" w:name="results"/>
      <w:r>
        <w:rPr>
          <w:rFonts w:ascii="Arial" w:hAnsi="Arial"/>
          <w:color w:val="auto"/>
          <w:sz w:val="24"/>
          <w:szCs w:val="24"/>
        </w:rPr>
        <w:t>Results</w:t>
      </w:r>
      <w:bookmarkEnd w:id="13"/>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14" w:name="general"/>
      <w:r>
        <w:rPr>
          <w:rFonts w:ascii="Arial" w:hAnsi="Arial"/>
          <w:color w:val="auto"/>
          <w:sz w:val="24"/>
          <w:szCs w:val="24"/>
        </w:rPr>
        <w:t>General</w:t>
      </w:r>
      <w:bookmarkEnd w:id="14"/>
    </w:p>
    <w:p>
      <w:pPr>
        <w:pStyle w:val="FirstParagraph"/>
        <w:spacing w:lineRule="auto" w:line="480" w:before="0" w:after="283"/>
        <w:jc w:val="both"/>
        <w:rPr/>
      </w:pPr>
      <w:r>
        <w:rPr>
          <w:rFonts w:ascii="Arial" w:hAnsi="Arial"/>
          <w:color w:val="auto"/>
          <w:sz w:val="24"/>
          <w:szCs w:val="24"/>
        </w:rPr>
        <w:t xml:space="preserve">Parasites of all isolates successfully infected all mouse groups (at the exception of 5 individuals infected </w:t>
      </w:r>
      <w:r>
        <w:rPr>
          <w:rFonts w:ascii="Arial" w:hAnsi="Arial"/>
          <w:color w:val="auto"/>
          <w:sz w:val="24"/>
          <w:szCs w:val="24"/>
          <w:highlight w:val="yellow"/>
        </w:rPr>
        <w:t>with the</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that died or had to be sacrificed due to a strong weight loss before the peak of shedding for this parasite), meaning that no "qualitative infection resistance" (</w:t>
      </w:r>
      <w:r>
        <w:rPr>
          <w:rFonts w:ascii="Arial" w:hAnsi="Arial"/>
          <w:i/>
          <w:color w:val="auto"/>
          <w:sz w:val="24"/>
          <w:szCs w:val="24"/>
        </w:rPr>
        <w:t>sensu</w:t>
      </w:r>
      <w:r>
        <w:rPr>
          <w:rFonts w:ascii="Arial" w:hAnsi="Arial"/>
          <w:color w:val="auto"/>
          <w:sz w:val="24"/>
          <w:szCs w:val="24"/>
        </w:rPr>
        <w:t xml:space="preserve"> (Gandon and Michalakis 2000)) was detected. For </w:t>
      </w:r>
      <w:r>
        <w:rPr>
          <w:rFonts w:ascii="Arial" w:hAnsi="Arial"/>
          <w:i/>
          <w:color w:val="auto"/>
          <w:sz w:val="24"/>
          <w:szCs w:val="24"/>
        </w:rPr>
        <w:t>E. ferrisi</w:t>
      </w:r>
      <w:r>
        <w:rPr>
          <w:rFonts w:ascii="Arial" w:hAnsi="Arial"/>
          <w:color w:val="auto"/>
          <w:sz w:val="24"/>
          <w:szCs w:val="24"/>
        </w:rPr>
        <w:t xml:space="preserve"> isolate Brandenburg64, the pre-patent period was 5 days post infection (dpi) and the median day of maximal oocyst shedding was 6 dpi (standard deviation sd=0.9). The median day of maximum weight loss was 5 dpi for both isolates (sd=1.7). For </w:t>
      </w:r>
      <w:r>
        <w:rPr>
          <w:rFonts w:ascii="Arial" w:hAnsi="Arial"/>
          <w:i/>
          <w:color w:val="auto"/>
          <w:sz w:val="24"/>
          <w:szCs w:val="24"/>
        </w:rPr>
        <w:t>E. falciformis</w:t>
      </w:r>
      <w:r>
        <w:rPr>
          <w:rFonts w:ascii="Arial" w:hAnsi="Arial"/>
          <w:color w:val="auto"/>
          <w:sz w:val="24"/>
          <w:szCs w:val="24"/>
        </w:rPr>
        <w:t xml:space="preserve"> isolate Brandenburg88 pre-patency was 7 dpi, median day of maximal shedding was 8 dpi (sd=1.3) and median day of maximal weight loss 9 dpi (sd=1.6)(</w:t>
      </w:r>
      <w:r>
        <w:rPr>
          <w:rFonts w:ascii="Arial" w:hAnsi="Arial"/>
          <w:b/>
          <w:color w:val="auto"/>
          <w:sz w:val="24"/>
          <w:szCs w:val="24"/>
          <w:highlight w:val="yellow"/>
        </w:rPr>
        <w:t>Figure 2</w:t>
      </w:r>
      <w:r>
        <w:rPr>
          <w:rFonts w:ascii="Arial" w:hAnsi="Arial"/>
          <w:color w:val="auto"/>
          <w:sz w:val="24"/>
          <w:szCs w:val="24"/>
          <w:highlight w:val="yellow"/>
        </w:rPr>
        <w:t>)</w:t>
      </w:r>
      <w:r>
        <w:rPr>
          <w:rFonts w:ascii="Arial" w:hAnsi="Arial"/>
          <w:color w:val="auto"/>
          <w:sz w:val="24"/>
          <w:szCs w:val="24"/>
        </w:rPr>
        <w:t>. Of note a considerable number of mice infected with this isolate (13 out of 56 = 23</w:t>
      </w:r>
      <w:r>
        <w:rPr/>
      </w:r>
      <m:oMath xmlns:m="http://schemas.openxmlformats.org/officeDocument/2006/math">
        <m:r>
          <m:rPr>
            <m:lit/>
            <m:nor/>
          </m:rPr>
          <w:rPr>
            <w:rFonts w:ascii="Cambria Math" w:hAnsi="Cambria Math"/>
          </w:rPr>
          <m:t xml:space="preserve">%</m:t>
        </m:r>
      </m:oMath>
      <w:r>
        <w:rPr>
          <w:rFonts w:ascii="Arial" w:hAnsi="Arial"/>
          <w:color w:val="auto"/>
          <w:sz w:val="24"/>
          <w:szCs w:val="24"/>
        </w:rPr>
        <w:t xml:space="preserve"> ) died or had to be sacrificed at humane end points less than 3 days after the oocysts shedding peak for the group, all belonging to </w:t>
      </w:r>
      <w:r>
        <w:rPr>
          <w:rFonts w:ascii="Arial" w:hAnsi="Arial"/>
          <w:i/>
          <w:color w:val="auto"/>
          <w:sz w:val="24"/>
          <w:szCs w:val="24"/>
        </w:rPr>
        <w:t>M. m. musculus</w:t>
      </w:r>
      <w:r>
        <w:rPr>
          <w:rFonts w:ascii="Arial" w:hAnsi="Arial"/>
          <w:color w:val="auto"/>
          <w:sz w:val="24"/>
          <w:szCs w:val="24"/>
        </w:rPr>
        <w:t xml:space="preserve"> subspecies (PWD, BUSNA, or their F1 PWDxBUSNA; 5 died at dpi 8, 5 at dpi 9, 3 at dpi 10). </w:t>
      </w:r>
      <w:r>
        <w:rPr>
          <w:rFonts w:ascii="Arial" w:hAnsi="Arial"/>
          <w:i/>
          <w:color w:val="auto"/>
          <w:sz w:val="24"/>
          <w:szCs w:val="24"/>
        </w:rPr>
        <w:t>E. falciformis</w:t>
      </w:r>
      <w:r>
        <w:rPr>
          <w:rFonts w:ascii="Arial" w:hAnsi="Arial"/>
          <w:color w:val="auto"/>
          <w:sz w:val="24"/>
          <w:szCs w:val="24"/>
        </w:rPr>
        <w:t xml:space="preserve"> isolate Brandenburg88 was more lethal for the </w:t>
      </w:r>
      <w:r>
        <w:rPr>
          <w:rFonts w:ascii="Arial" w:hAnsi="Arial"/>
          <w:i/>
          <w:color w:val="auto"/>
          <w:sz w:val="24"/>
          <w:szCs w:val="24"/>
        </w:rPr>
        <w:t>M. m. musculus</w:t>
      </w:r>
      <w:r>
        <w:rPr>
          <w:rFonts w:ascii="Arial" w:hAnsi="Arial"/>
          <w:color w:val="auto"/>
          <w:sz w:val="24"/>
          <w:szCs w:val="24"/>
        </w:rPr>
        <w:t xml:space="preserve"> mice strains than for the other strains (</w:t>
      </w:r>
      <w:r>
        <w:rPr/>
      </w:r>
      <m:oMath xmlns:m="http://schemas.openxmlformats.org/officeDocument/2006/math">
        <m:sSubSup>
          <m:e>
            <m:r>
              <w:rPr>
                <w:rFonts w:ascii="Cambria Math" w:hAnsi="Cambria Math"/>
              </w:rPr>
              <m:t xml:space="preserve">χ</m:t>
            </m:r>
          </m:e>
          <m:sub>
            <m:r>
              <w:rPr>
                <w:rFonts w:ascii="Cambria Math" w:hAnsi="Cambria Math"/>
              </w:rPr>
              <m:t xml:space="preserve">7</m:t>
            </m:r>
          </m:sub>
          <m:sup>
            <m:r>
              <w:rPr>
                <w:rFonts w:ascii="Cambria Math" w:hAnsi="Cambria Math"/>
              </w:rPr>
              <m:t xml:space="preserve">2</m:t>
            </m:r>
          </m:sup>
        </m:sSubSup>
      </m:oMath>
      <w:r>
        <w:rPr>
          <w:rFonts w:ascii="Arial" w:hAnsi="Arial"/>
          <w:color w:val="auto"/>
          <w:sz w:val="24"/>
          <w:szCs w:val="24"/>
        </w:rPr>
        <w:t xml:space="preserve">= 31.96, P&lt;0.001; </w:t>
      </w:r>
      <w:r>
        <w:rPr>
          <w:rFonts w:ascii="Arial" w:hAnsi="Arial"/>
          <w:b/>
          <w:color w:val="auto"/>
          <w:sz w:val="24"/>
          <w:szCs w:val="24"/>
        </w:rPr>
        <w:t>Table 2</w:t>
      </w:r>
      <w:r>
        <w:rPr>
          <w:rFonts w:ascii="Arial" w:hAnsi="Arial"/>
          <w:color w:val="auto"/>
          <w:sz w:val="24"/>
          <w:szCs w:val="24"/>
        </w:rPr>
        <w:t>).</w:t>
      </w:r>
    </w:p>
    <w:p>
      <w:pPr>
        <w:pStyle w:val="Heading2"/>
        <w:spacing w:lineRule="auto" w:line="480" w:before="0" w:after="0"/>
        <w:jc w:val="both"/>
        <w:rPr/>
      </w:pPr>
      <w:r>
        <w:rPr>
          <w:rFonts w:ascii="Arial" w:hAnsi="Arial"/>
          <w:color w:val="auto"/>
          <w:sz w:val="24"/>
          <w:szCs w:val="24"/>
          <w:highlight w:val="yellow"/>
        </w:rPr>
        <w:t>2</w:t>
      </w:r>
      <w:r>
        <w:rPr>
          <w:rFonts w:ascii="Arial" w:hAnsi="Arial"/>
          <w:color w:val="auto"/>
          <w:sz w:val="24"/>
          <w:szCs w:val="24"/>
          <w:highlight w:val="yellow"/>
        </w:rPr>
        <w:t xml:space="preserve">. Comparison of resistance-tolerance coupling between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 xml:space="preserve">E. falciformis </w:t>
      </w:r>
    </w:p>
    <w:p>
      <w:pPr>
        <w:pStyle w:val="TextBody"/>
        <w:spacing w:lineRule="auto" w:line="480" w:before="0" w:after="0"/>
        <w:jc w:val="both"/>
        <w:rPr>
          <w:b/>
          <w:b/>
          <w:bCs/>
          <w:i w:val="false"/>
          <w:i w:val="false"/>
          <w:iCs w:val="false"/>
        </w:rPr>
      </w:pPr>
      <w:r>
        <w:rPr>
          <w:rFonts w:ascii="Arial" w:hAnsi="Arial"/>
          <w:b/>
          <w:bCs/>
          <w:i w:val="false"/>
          <w:iCs w:val="false"/>
          <w:color w:val="auto"/>
          <w:sz w:val="24"/>
          <w:szCs w:val="24"/>
          <w:highlight w:val="yellow"/>
        </w:rPr>
        <w:t>2</w:t>
      </w:r>
      <w:r>
        <w:rPr>
          <w:rFonts w:ascii="Arial" w:hAnsi="Arial"/>
          <w:b/>
          <w:bCs/>
          <w:i w:val="false"/>
          <w:iCs w:val="false"/>
          <w:color w:val="auto"/>
          <w:sz w:val="24"/>
          <w:szCs w:val="24"/>
          <w:highlight w:val="yellow"/>
        </w:rPr>
        <w:t>.</w:t>
      </w:r>
      <w:r>
        <w:rPr>
          <w:rFonts w:ascii="Arial" w:hAnsi="Arial"/>
          <w:b/>
          <w:bCs/>
          <w:i w:val="false"/>
          <w:iCs w:val="false"/>
          <w:color w:val="auto"/>
          <w:sz w:val="24"/>
          <w:szCs w:val="24"/>
          <w:highlight w:val="yellow"/>
        </w:rPr>
        <w:t xml:space="preserve">1. </w:t>
      </w:r>
      <w:r>
        <w:rPr>
          <w:rFonts w:ascii="Arial" w:hAnsi="Arial" w:cstheme="majorBidi" w:eastAsiaTheme="majorEastAsia"/>
          <w:b/>
          <w:bCs/>
          <w:i w:val="false"/>
          <w:iCs w:val="false"/>
          <w:color w:val="auto"/>
          <w:sz w:val="24"/>
          <w:szCs w:val="24"/>
          <w:highlight w:val="yellow"/>
        </w:rPr>
        <w:t>D</w:t>
      </w:r>
      <w:r>
        <w:rPr>
          <w:rFonts w:ascii="Arial" w:hAnsi="Arial" w:cstheme="majorBidi" w:eastAsiaTheme="majorEastAsia"/>
          <w:b/>
          <w:bCs/>
          <w:i w:val="false"/>
          <w:iCs w:val="false"/>
          <w:color w:val="auto"/>
          <w:sz w:val="24"/>
          <w:szCs w:val="24"/>
          <w:highlight w:val="yellow"/>
        </w:rPr>
        <w:t>ifference</w:t>
      </w:r>
      <w:r>
        <w:rPr>
          <w:rFonts w:ascii="Arial" w:hAnsi="Arial" w:cstheme="majorBidi" w:eastAsiaTheme="majorEastAsia"/>
          <w:b/>
          <w:bCs/>
          <w:i w:val="false"/>
          <w:iCs w:val="false"/>
          <w:color w:val="auto"/>
          <w:sz w:val="24"/>
          <w:szCs w:val="24"/>
          <w:highlight w:val="yellow"/>
        </w:rPr>
        <w:t>s</w:t>
      </w:r>
      <w:r>
        <w:rPr>
          <w:rFonts w:ascii="Arial" w:hAnsi="Arial" w:cstheme="majorBidi" w:eastAsiaTheme="majorEastAsia"/>
          <w:b/>
          <w:bCs/>
          <w:i w:val="false"/>
          <w:iCs w:val="false"/>
          <w:color w:val="auto"/>
          <w:sz w:val="24"/>
          <w:szCs w:val="24"/>
          <w:highlight w:val="yellow"/>
        </w:rPr>
        <w:t xml:space="preserve"> </w:t>
      </w:r>
      <w:r>
        <w:rPr>
          <w:rFonts w:ascii="Arial" w:hAnsi="Arial" w:cstheme="majorBidi" w:eastAsiaTheme="majorEastAsia"/>
          <w:b/>
          <w:bCs/>
          <w:i w:val="false"/>
          <w:iCs w:val="false"/>
          <w:color w:val="auto"/>
          <w:sz w:val="24"/>
          <w:szCs w:val="24"/>
          <w:highlight w:val="yellow"/>
        </w:rPr>
        <w:t xml:space="preserve">in resistance and tolerance </w:t>
      </w:r>
      <w:r>
        <w:rPr>
          <w:rFonts w:ascii="Arial" w:hAnsi="Arial" w:cstheme="majorBidi" w:eastAsiaTheme="majorEastAsia"/>
          <w:b/>
          <w:bCs/>
          <w:i w:val="false"/>
          <w:iCs w:val="false"/>
          <w:color w:val="auto"/>
          <w:sz w:val="24"/>
          <w:szCs w:val="24"/>
          <w:highlight w:val="yellow"/>
        </w:rPr>
        <w:t xml:space="preserve">between </w:t>
      </w:r>
      <w:r>
        <w:rPr>
          <w:rFonts w:ascii="Arial" w:hAnsi="Arial" w:cstheme="majorBidi" w:eastAsiaTheme="majorEastAsia"/>
          <w:b/>
          <w:bCs/>
          <w:i w:val="false"/>
          <w:iCs w:val="false"/>
          <w:color w:val="auto"/>
          <w:sz w:val="24"/>
          <w:szCs w:val="24"/>
          <w:highlight w:val="yellow"/>
        </w:rPr>
        <w:t>mouse groups depends on  the parasite</w:t>
      </w:r>
    </w:p>
    <w:p>
      <w:pPr>
        <w:pStyle w:val="FirstParagraph"/>
        <w:spacing w:lineRule="auto" w:line="480" w:before="0" w:after="283"/>
        <w:jc w:val="both"/>
        <w:rPr/>
      </w:pPr>
      <w:r>
        <w:rPr>
          <w:rFonts w:ascii="Arial" w:hAnsi="Arial"/>
          <w:color w:val="auto"/>
          <w:sz w:val="24"/>
          <w:szCs w:val="24"/>
          <w:highlight w:val="yellow"/>
        </w:rPr>
        <w:t xml:space="preserve">Considering all mice infected with either </w:t>
      </w:r>
      <w:r>
        <w:rPr>
          <w:rFonts w:ascii="Arial" w:hAnsi="Arial"/>
          <w:i/>
          <w:iCs/>
          <w:color w:val="auto"/>
          <w:sz w:val="24"/>
          <w:szCs w:val="24"/>
          <w:highlight w:val="yellow"/>
        </w:rPr>
        <w:t>E. ferrisi</w:t>
      </w:r>
      <w:r>
        <w:rPr>
          <w:rFonts w:ascii="Arial" w:hAnsi="Arial"/>
          <w:color w:val="auto"/>
          <w:sz w:val="24"/>
          <w:szCs w:val="24"/>
          <w:highlight w:val="yellow"/>
        </w:rPr>
        <w:t xml:space="preserve"> isolate Brandenburg 64 and </w:t>
      </w:r>
      <w:r>
        <w:rPr>
          <w:rFonts w:ascii="Arial" w:hAnsi="Arial"/>
          <w:i/>
          <w:iCs/>
          <w:color w:val="auto"/>
          <w:sz w:val="24"/>
          <w:szCs w:val="24"/>
          <w:highlight w:val="yellow"/>
        </w:rPr>
        <w:t>E. falciformis</w:t>
      </w:r>
      <w:r>
        <w:rPr>
          <w:rFonts w:ascii="Arial" w:hAnsi="Arial"/>
          <w:color w:val="auto"/>
          <w:sz w:val="24"/>
          <w:szCs w:val="24"/>
          <w:highlight w:val="yellow"/>
        </w:rPr>
        <w:t xml:space="preserve"> isolate Brandenburg 88, </w:t>
      </w:r>
      <w:r>
        <w:rPr>
          <w:rFonts w:ascii="Arial" w:hAnsi="Arial"/>
          <w:color w:val="auto"/>
          <w:sz w:val="24"/>
          <w:szCs w:val="24"/>
          <w:highlight w:val="yellow"/>
        </w:rPr>
        <w:t>w</w:t>
      </w:r>
      <w:r>
        <w:rPr>
          <w:rFonts w:ascii="Arial" w:hAnsi="Arial"/>
          <w:color w:val="auto"/>
          <w:sz w:val="24"/>
          <w:szCs w:val="24"/>
          <w:highlight w:val="yellow"/>
        </w:rPr>
        <w:t xml:space="preserve">e found </w:t>
      </w:r>
      <w:r>
        <w:rPr>
          <w:rFonts w:ascii="Arial" w:hAnsi="Arial"/>
          <w:color w:val="auto"/>
          <w:sz w:val="24"/>
          <w:szCs w:val="24"/>
          <w:highlight w:val="yellow"/>
        </w:rPr>
        <w:t>our proxy for (inverse of) resistance</w:t>
      </w:r>
      <w:r>
        <w:rPr>
          <w:rFonts w:ascii="Arial" w:hAnsi="Arial"/>
          <w:color w:val="auto"/>
          <w:sz w:val="24"/>
          <w:szCs w:val="24"/>
          <w:highlight w:val="yellow"/>
        </w:rPr>
        <w:t xml:space="preserve"> </w:t>
      </w:r>
      <w:r>
        <w:rPr>
          <w:rFonts w:ascii="Arial" w:hAnsi="Arial"/>
          <w:color w:val="auto"/>
          <w:sz w:val="24"/>
          <w:szCs w:val="24"/>
          <w:highlight w:val="yellow"/>
        </w:rPr>
        <w:t>(</w:t>
      </w:r>
      <w:r>
        <w:rPr>
          <w:rFonts w:ascii="Arial" w:hAnsi="Arial"/>
          <w:color w:val="auto"/>
          <w:sz w:val="24"/>
          <w:szCs w:val="24"/>
          <w:highlight w:val="yellow"/>
        </w:rPr>
        <w:t>maximum number of OPG</w:t>
      </w:r>
      <w:r>
        <w:rPr>
          <w:rFonts w:ascii="Arial" w:hAnsi="Arial"/>
          <w:color w:val="auto"/>
          <w:sz w:val="24"/>
          <w:szCs w:val="24"/>
          <w:highlight w:val="yellow"/>
        </w:rPr>
        <w:t>)</w:t>
      </w:r>
      <w:r>
        <w:rPr>
          <w:rFonts w:ascii="Arial" w:hAnsi="Arial"/>
          <w:color w:val="auto"/>
          <w:sz w:val="24"/>
          <w:szCs w:val="24"/>
          <w:highlight w:val="yellow"/>
        </w:rPr>
        <w:t xml:space="preserve"> to be statistically different between mouse groups, </w:t>
      </w:r>
      <w:r>
        <w:rPr>
          <w:rFonts w:ascii="Arial" w:hAnsi="Arial"/>
          <w:color w:val="auto"/>
          <w:sz w:val="24"/>
          <w:szCs w:val="24"/>
          <w:highlight w:val="yellow"/>
        </w:rPr>
        <w:t xml:space="preserve">parasite isolates </w:t>
      </w:r>
      <w:r>
        <w:rPr>
          <w:rFonts w:ascii="Arial" w:hAnsi="Arial"/>
          <w:color w:val="auto"/>
          <w:sz w:val="24"/>
          <w:szCs w:val="24"/>
          <w:highlight w:val="yellow"/>
        </w:rPr>
        <w:t>and their interaction</w:t>
      </w:r>
      <w:r>
        <w:rPr>
          <w:rFonts w:ascii="Arial" w:hAnsi="Arial"/>
          <w:color w:val="auto"/>
          <w:sz w:val="24"/>
          <w:szCs w:val="24"/>
          <w:highlight w:val="yellow"/>
        </w:rPr>
        <w:t xml:space="preserve">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55.5</w:t>
      </w:r>
      <w:r>
        <w:rPr>
          <w:rFonts w:ascii="Arial" w:hAnsi="Arial"/>
          <w:color w:val="auto"/>
          <w:sz w:val="24"/>
          <w:szCs w:val="24"/>
          <w:highlight w:val="yellow"/>
        </w:rPr>
        <w:t>, df=</w:t>
      </w:r>
      <w:r>
        <w:rPr>
          <w:rFonts w:ascii="Arial" w:hAnsi="Arial"/>
          <w:color w:val="auto"/>
          <w:sz w:val="24"/>
          <w:szCs w:val="24"/>
          <w:highlight w:val="yellow"/>
        </w:rPr>
        <w:t>28</w:t>
      </w:r>
      <w:r>
        <w:rPr>
          <w:rFonts w:ascii="Arial" w:hAnsi="Arial"/>
          <w:color w:val="auto"/>
          <w:sz w:val="24"/>
          <w:szCs w:val="24"/>
          <w:highlight w:val="yellow"/>
        </w:rPr>
        <w:t xml:space="preserve">, P&lt;0.01;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40.5</w:t>
      </w:r>
      <w:r>
        <w:rPr>
          <w:rFonts w:ascii="Arial" w:hAnsi="Arial"/>
          <w:color w:val="auto"/>
          <w:sz w:val="24"/>
          <w:szCs w:val="24"/>
          <w:highlight w:val="yellow"/>
        </w:rPr>
        <w:t>, df=</w:t>
      </w:r>
      <w:r>
        <w:rPr>
          <w:rFonts w:ascii="Arial" w:hAnsi="Arial"/>
          <w:color w:val="auto"/>
          <w:sz w:val="24"/>
          <w:szCs w:val="24"/>
          <w:highlight w:val="yellow"/>
        </w:rPr>
        <w:t>16</w:t>
      </w:r>
      <w:r>
        <w:rPr>
          <w:rFonts w:ascii="Arial" w:hAnsi="Arial"/>
          <w:color w:val="auto"/>
          <w:sz w:val="24"/>
          <w:szCs w:val="24"/>
          <w:highlight w:val="yellow"/>
        </w:rPr>
        <w:t xml:space="preserve">, P&lt;0.001;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27.9</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w:t>
      </w:r>
      <w:r>
        <w:rPr>
          <w:rFonts w:ascii="Arial" w:hAnsi="Arial"/>
          <w:color w:val="auto"/>
          <w:sz w:val="24"/>
          <w:szCs w:val="24"/>
          <w:highlight w:val="yellow"/>
        </w:rPr>
        <w:t>=0.015)</w:t>
      </w:r>
      <w:r>
        <w:rPr>
          <w:rFonts w:ascii="Arial" w:hAnsi="Arial"/>
          <w:color w:val="auto"/>
          <w:sz w:val="24"/>
          <w:szCs w:val="24"/>
          <w:highlight w:val="yellow"/>
        </w:rPr>
        <w:t xml:space="preserve">. </w:t>
      </w:r>
      <w:r>
        <w:rPr>
          <w:rFonts w:ascii="Arial" w:hAnsi="Arial"/>
          <w:color w:val="auto"/>
          <w:sz w:val="24"/>
          <w:szCs w:val="24"/>
          <w:highlight w:val="yellow"/>
        </w:rPr>
        <w:t xml:space="preserve">Results were similar for our proxy </w:t>
      </w:r>
      <w:r>
        <w:rPr>
          <w:rFonts w:ascii="Arial" w:hAnsi="Arial"/>
          <w:color w:val="auto"/>
          <w:sz w:val="24"/>
          <w:szCs w:val="24"/>
          <w:highlight w:val="yellow"/>
        </w:rPr>
        <w:t>for</w:t>
      </w:r>
      <w:r>
        <w:rPr>
          <w:rFonts w:ascii="Arial" w:hAnsi="Arial"/>
          <w:color w:val="auto"/>
          <w:sz w:val="24"/>
          <w:szCs w:val="24"/>
          <w:highlight w:val="yellow"/>
        </w:rPr>
        <w:t xml:space="preserve"> tolerance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28.4</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w:t>
      </w:r>
      <w:r>
        <w:rPr>
          <w:rFonts w:ascii="Arial" w:hAnsi="Arial"/>
          <w:color w:val="auto"/>
          <w:sz w:val="24"/>
          <w:szCs w:val="24"/>
          <w:highlight w:val="yellow"/>
        </w:rPr>
        <w:t>=</w:t>
      </w:r>
      <w:r>
        <w:rPr>
          <w:rFonts w:ascii="Arial" w:hAnsi="Arial"/>
          <w:color w:val="auto"/>
          <w:sz w:val="24"/>
          <w:szCs w:val="24"/>
          <w:highlight w:val="yellow"/>
        </w:rPr>
        <w:t xml:space="preserve">0.01;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20.1</w:t>
      </w:r>
      <w:r>
        <w:rPr>
          <w:rFonts w:ascii="Arial" w:hAnsi="Arial"/>
          <w:color w:val="auto"/>
          <w:sz w:val="24"/>
          <w:szCs w:val="24"/>
          <w:highlight w:val="yellow"/>
        </w:rPr>
        <w:t xml:space="preserve"> df=</w:t>
      </w:r>
      <w:r>
        <w:rPr>
          <w:rFonts w:ascii="Arial" w:hAnsi="Arial"/>
          <w:color w:val="auto"/>
          <w:sz w:val="24"/>
          <w:szCs w:val="24"/>
          <w:highlight w:val="yellow"/>
        </w:rPr>
        <w:t>8</w:t>
      </w:r>
      <w:r>
        <w:rPr>
          <w:rFonts w:ascii="Arial" w:hAnsi="Arial"/>
          <w:color w:val="auto"/>
          <w:sz w:val="24"/>
          <w:szCs w:val="24"/>
          <w:highlight w:val="yellow"/>
        </w:rPr>
        <w:t>, P</w:t>
      </w:r>
      <w:r>
        <w:rPr>
          <w:rFonts w:ascii="Arial" w:hAnsi="Arial"/>
          <w:color w:val="auto"/>
          <w:sz w:val="24"/>
          <w:szCs w:val="24"/>
          <w:highlight w:val="yellow"/>
        </w:rPr>
        <w:t>=</w:t>
      </w:r>
      <w:r>
        <w:rPr>
          <w:rFonts w:ascii="Arial" w:hAnsi="Arial"/>
          <w:color w:val="auto"/>
          <w:sz w:val="24"/>
          <w:szCs w:val="24"/>
          <w:highlight w:val="yellow"/>
        </w:rPr>
        <w:t xml:space="preserve">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18.8</w:t>
      </w:r>
      <w:r>
        <w:rPr>
          <w:rFonts w:ascii="Arial" w:hAnsi="Arial"/>
          <w:color w:val="auto"/>
          <w:sz w:val="24"/>
          <w:szCs w:val="24"/>
          <w:highlight w:val="yellow"/>
        </w:rPr>
        <w:t>, df=</w:t>
      </w:r>
      <w:r>
        <w:rPr>
          <w:rFonts w:ascii="Arial" w:hAnsi="Arial"/>
          <w:color w:val="auto"/>
          <w:sz w:val="24"/>
          <w:szCs w:val="24"/>
          <w:highlight w:val="yellow"/>
        </w:rPr>
        <w:t>7</w:t>
      </w:r>
      <w:r>
        <w:rPr>
          <w:rFonts w:ascii="Arial" w:hAnsi="Arial"/>
          <w:color w:val="auto"/>
          <w:sz w:val="24"/>
          <w:szCs w:val="24"/>
          <w:highlight w:val="yellow"/>
        </w:rPr>
        <w:t>, P</w:t>
      </w:r>
      <w:r>
        <w:rPr>
          <w:rFonts w:ascii="Arial" w:hAnsi="Arial"/>
          <w:color w:val="auto"/>
          <w:sz w:val="24"/>
          <w:szCs w:val="24"/>
          <w:highlight w:val="yellow"/>
        </w:rPr>
        <w:t>&lt;</w:t>
      </w:r>
      <w:r>
        <w:rPr>
          <w:rFonts w:ascii="Arial" w:hAnsi="Arial"/>
          <w:color w:val="auto"/>
          <w:sz w:val="24"/>
          <w:szCs w:val="24"/>
          <w:highlight w:val="yellow"/>
        </w:rPr>
        <w:t xml:space="preserve">0.01). </w:t>
      </w:r>
      <w:r>
        <w:rPr>
          <w:rFonts w:ascii="Arial" w:hAnsi="Arial"/>
          <w:color w:val="auto"/>
          <w:sz w:val="24"/>
          <w:szCs w:val="24"/>
          <w:highlight w:val="yellow"/>
        </w:rPr>
        <w:t>Eventually, our proxy for impact on weight (</w:t>
      </w:r>
      <w:r>
        <w:rPr>
          <w:rFonts w:ascii="Arial" w:hAnsi="Arial"/>
          <w:color w:val="auto"/>
          <w:sz w:val="24"/>
          <w:szCs w:val="24"/>
          <w:highlight w:val="yellow"/>
        </w:rPr>
        <w:t>maximum relative weight loss</w:t>
      </w:r>
      <w:r>
        <w:rPr>
          <w:rFonts w:ascii="Arial" w:hAnsi="Arial"/>
          <w:color w:val="auto"/>
          <w:sz w:val="24"/>
          <w:szCs w:val="24"/>
          <w:highlight w:val="yellow"/>
        </w:rPr>
        <w:t xml:space="preserve">) was significantly different between mouse groups and parasite isolates, but not for their interaction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44.9</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P&lt;0.0</w:t>
      </w:r>
      <w:r>
        <w:rPr>
          <w:rFonts w:ascii="Arial" w:hAnsi="Arial"/>
          <w:color w:val="auto"/>
          <w:sz w:val="24"/>
          <w:szCs w:val="24"/>
          <w:highlight w:val="yellow"/>
        </w:rPr>
        <w:t>0</w:t>
      </w:r>
      <w:r>
        <w:rPr>
          <w:rFonts w:ascii="Arial" w:hAnsi="Arial"/>
          <w:color w:val="auto"/>
          <w:sz w:val="24"/>
          <w:szCs w:val="24"/>
          <w:highlight w:val="yellow"/>
        </w:rPr>
        <w:t xml:space="preserve">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33</w:t>
      </w:r>
      <w:r>
        <w:rPr>
          <w:rFonts w:ascii="Arial" w:hAnsi="Arial"/>
          <w:color w:val="auto"/>
          <w:sz w:val="24"/>
          <w:szCs w:val="24"/>
          <w:highlight w:val="yellow"/>
        </w:rPr>
        <w:t>, df=</w:t>
      </w:r>
      <w:r>
        <w:rPr>
          <w:rFonts w:ascii="Arial" w:hAnsi="Arial"/>
          <w:color w:val="auto"/>
          <w:sz w:val="24"/>
          <w:szCs w:val="24"/>
          <w:highlight w:val="yellow"/>
        </w:rPr>
        <w:t>8</w:t>
      </w:r>
      <w:r>
        <w:rPr>
          <w:rFonts w:ascii="Arial" w:hAnsi="Arial"/>
          <w:color w:val="auto"/>
          <w:sz w:val="24"/>
          <w:szCs w:val="24"/>
          <w:highlight w:val="yellow"/>
        </w:rPr>
        <w:t xml:space="preserve">, P&lt;0.001;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7.5</w:t>
      </w:r>
      <w:r>
        <w:rPr>
          <w:rFonts w:ascii="Arial" w:hAnsi="Arial"/>
          <w:color w:val="auto"/>
          <w:sz w:val="24"/>
          <w:szCs w:val="24"/>
          <w:highlight w:val="yellow"/>
        </w:rPr>
        <w:t>, df=</w:t>
      </w:r>
      <w:r>
        <w:rPr>
          <w:rFonts w:ascii="Arial" w:hAnsi="Arial"/>
          <w:color w:val="auto"/>
          <w:sz w:val="24"/>
          <w:szCs w:val="24"/>
          <w:highlight w:val="yellow"/>
        </w:rPr>
        <w:t>7</w:t>
      </w:r>
      <w:r>
        <w:rPr>
          <w:rFonts w:ascii="Arial" w:hAnsi="Arial"/>
          <w:color w:val="auto"/>
          <w:sz w:val="24"/>
          <w:szCs w:val="24"/>
          <w:highlight w:val="yellow"/>
        </w:rPr>
        <w:t>, P</w:t>
      </w:r>
      <w:r>
        <w:rPr>
          <w:rFonts w:ascii="Arial" w:hAnsi="Arial"/>
          <w:color w:val="auto"/>
          <w:sz w:val="24"/>
          <w:szCs w:val="24"/>
          <w:highlight w:val="yellow"/>
        </w:rPr>
        <w:t>=0.</w:t>
      </w:r>
      <w:r>
        <w:rPr>
          <w:rFonts w:ascii="Arial" w:hAnsi="Arial"/>
          <w:color w:val="auto"/>
          <w:sz w:val="24"/>
          <w:szCs w:val="24"/>
          <w:highlight w:val="yellow"/>
        </w:rPr>
        <w:t>38</w:t>
      </w:r>
      <w:r>
        <w:rPr>
          <w:rFonts w:ascii="Arial" w:hAnsi="Arial"/>
          <w:color w:val="auto"/>
          <w:sz w:val="24"/>
          <w:szCs w:val="24"/>
          <w:highlight w:val="yellow"/>
        </w:rPr>
        <w:t>)</w:t>
      </w:r>
      <w:r>
        <w:rPr>
          <w:rFonts w:ascii="Arial" w:hAnsi="Arial"/>
          <w:color w:val="auto"/>
          <w:sz w:val="24"/>
          <w:szCs w:val="24"/>
          <w:highlight w:val="yellow"/>
        </w:rPr>
        <w:t xml:space="preserve">. </w:t>
      </w:r>
      <w:r>
        <w:rPr>
          <w:rFonts w:ascii="Arial" w:hAnsi="Arial"/>
          <w:color w:val="auto"/>
          <w:sz w:val="24"/>
          <w:szCs w:val="24"/>
          <w:highlight w:val="yellow"/>
        </w:rPr>
        <w:t xml:space="preserve">For </w:t>
      </w:r>
      <w:r>
        <w:rPr>
          <w:rFonts w:ascii="Arial" w:hAnsi="Arial"/>
          <w:color w:val="auto"/>
          <w:sz w:val="24"/>
          <w:szCs w:val="24"/>
          <w:highlight w:val="yellow"/>
        </w:rPr>
        <w:t xml:space="preserve">the latter model, </w:t>
      </w:r>
      <w:r>
        <w:rPr>
          <w:rFonts w:ascii="Arial" w:hAnsi="Arial"/>
          <w:color w:val="auto"/>
          <w:sz w:val="24"/>
          <w:szCs w:val="24"/>
          <w:highlight w:val="yellow"/>
        </w:rPr>
        <w:t xml:space="preserve">impact on weight, post-hoc tests showed that the only statistical differences between two mouse groups within a parasite infection were found in </w:t>
      </w:r>
      <w:r>
        <w:rPr>
          <w:rFonts w:ascii="Arial" w:hAnsi="Arial"/>
          <w:i/>
          <w:iCs/>
          <w:color w:val="auto"/>
          <w:sz w:val="24"/>
          <w:szCs w:val="24"/>
          <w:highlight w:val="yellow"/>
        </w:rPr>
        <w:t>E. falciformis</w:t>
      </w:r>
      <w:r>
        <w:rPr>
          <w:rFonts w:ascii="Arial" w:hAnsi="Arial"/>
          <w:color w:val="auto"/>
          <w:sz w:val="24"/>
          <w:szCs w:val="24"/>
          <w:highlight w:val="yellow"/>
        </w:rPr>
        <w:t xml:space="preserve"> infection, between PWD and STRA (Tukey HSD test, p-value = 0.02), PWD and </w:t>
      </w:r>
      <w:r>
        <w:rPr>
          <w:rFonts w:ascii="Arial" w:hAnsi="Arial"/>
          <w:color w:val="auto"/>
          <w:sz w:val="24"/>
          <w:szCs w:val="24"/>
          <w:highlight w:val="yellow"/>
        </w:rPr>
        <w:t>STRAxBUSNA</w:t>
      </w:r>
      <w:r>
        <w:rPr>
          <w:rFonts w:ascii="Arial" w:hAnsi="Arial"/>
          <w:color w:val="auto"/>
          <w:sz w:val="24"/>
          <w:szCs w:val="24"/>
          <w:highlight w:val="yellow"/>
        </w:rPr>
        <w:t xml:space="preserve"> (Tukey HSD test, p-value = 0.03)  and PWD and </w:t>
      </w:r>
      <w:r>
        <w:rPr>
          <w:rFonts w:ascii="Arial" w:hAnsi="Arial"/>
          <w:color w:val="auto"/>
          <w:sz w:val="24"/>
          <w:szCs w:val="24"/>
          <w:highlight w:val="yellow"/>
        </w:rPr>
        <w:t>SCHUNTxPWD</w:t>
      </w:r>
      <w:r>
        <w:rPr>
          <w:rFonts w:ascii="Arial" w:hAnsi="Arial"/>
          <w:color w:val="auto"/>
          <w:sz w:val="24"/>
          <w:szCs w:val="24"/>
          <w:highlight w:val="yellow"/>
        </w:rPr>
        <w:t xml:space="preserve"> (Tukey HSD test, p-value = 0.02). No difference was found within one mouse group between the two parasite isolates at the 0.05 significance threshold. </w:t>
      </w:r>
    </w:p>
    <w:p>
      <w:pPr>
        <w:pStyle w:val="TextBody"/>
        <w:spacing w:lineRule="auto" w:line="480" w:before="0" w:after="283"/>
        <w:jc w:val="both"/>
        <w:rPr>
          <w:highlight w:val="blue"/>
        </w:rPr>
      </w:pPr>
      <w:r>
        <w:rPr>
          <w:rFonts w:ascii="Arial" w:hAnsi="Arial"/>
          <w:color w:val="auto"/>
          <w:sz w:val="24"/>
          <w:szCs w:val="24"/>
          <w:highlight w:val="blue"/>
        </w:rPr>
        <w:t>A</w:t>
      </w:r>
      <w:r>
        <w:rPr>
          <w:rFonts w:ascii="Arial" w:hAnsi="Arial"/>
          <w:color w:val="auto"/>
          <w:sz w:val="24"/>
          <w:szCs w:val="24"/>
          <w:highlight w:val="blue"/>
        </w:rPr>
        <w:t xml:space="preserve">dd something on coupling not signif diff between both </w:t>
      </w:r>
    </w:p>
    <w:p>
      <w:pPr>
        <w:pStyle w:val="FirstParagraph"/>
        <w:spacing w:lineRule="auto" w:line="480" w:before="0" w:after="283"/>
        <w:jc w:val="both"/>
        <w:rPr/>
      </w:pPr>
      <w:r>
        <w:rPr>
          <w:rFonts w:ascii="Arial" w:hAnsi="Arial"/>
          <w:color w:val="auto"/>
          <w:sz w:val="24"/>
          <w:szCs w:val="24"/>
          <w:highlight w:val="yellow"/>
        </w:rPr>
        <w:t xml:space="preserve">Following these results, we </w:t>
      </w:r>
      <w:r>
        <w:rPr>
          <w:rFonts w:ascii="Arial" w:hAnsi="Arial"/>
          <w:color w:val="auto"/>
          <w:sz w:val="24"/>
          <w:szCs w:val="24"/>
          <w:highlight w:val="yellow"/>
        </w:rPr>
        <w:t>tested if our proxies for resistance</w:t>
      </w:r>
      <w:r>
        <w:rPr>
          <w:rFonts w:ascii="Arial" w:hAnsi="Arial"/>
          <w:color w:val="auto"/>
          <w:sz w:val="24"/>
          <w:szCs w:val="24"/>
          <w:highlight w:val="yellow"/>
        </w:rPr>
        <w:t xml:space="preserve"> </w:t>
      </w:r>
      <w:r>
        <w:rPr>
          <w:rFonts w:ascii="Arial" w:hAnsi="Arial"/>
          <w:color w:val="auto"/>
          <w:sz w:val="24"/>
          <w:szCs w:val="24"/>
          <w:highlight w:val="yellow"/>
        </w:rPr>
        <w:t xml:space="preserve">and tolerance </w:t>
      </w:r>
      <w:r>
        <w:rPr>
          <w:rFonts w:ascii="Arial" w:hAnsi="Arial"/>
          <w:color w:val="auto"/>
          <w:sz w:val="24"/>
          <w:szCs w:val="24"/>
          <w:highlight w:val="yellow"/>
        </w:rPr>
        <w:t xml:space="preserve">within both isolates </w:t>
      </w:r>
      <w:r>
        <w:rPr>
          <w:rFonts w:ascii="Arial" w:hAnsi="Arial"/>
          <w:color w:val="auto"/>
          <w:sz w:val="24"/>
          <w:szCs w:val="24"/>
          <w:highlight w:val="yellow"/>
        </w:rPr>
        <w:t>were different between the mouse groups.</w:t>
      </w:r>
    </w:p>
    <w:p>
      <w:pPr>
        <w:pStyle w:val="Heading2"/>
        <w:spacing w:lineRule="auto" w:line="480" w:before="0" w:after="0"/>
        <w:jc w:val="both"/>
        <w:rPr/>
      </w:pPr>
      <w:r>
        <w:rPr>
          <w:rFonts w:ascii="Arial" w:hAnsi="Arial"/>
          <w:color w:val="auto"/>
          <w:sz w:val="24"/>
          <w:szCs w:val="24"/>
          <w:highlight w:val="yellow"/>
        </w:rPr>
        <w:t>2</w:t>
      </w:r>
      <w:r>
        <w:rPr>
          <w:rFonts w:ascii="Arial" w:hAnsi="Arial"/>
          <w:color w:val="auto"/>
          <w:sz w:val="24"/>
          <w:szCs w:val="24"/>
        </w:rPr>
        <w:t>.</w:t>
      </w:r>
      <w:r>
        <w:rPr>
          <w:rFonts w:ascii="Arial" w:hAnsi="Arial"/>
          <w:color w:val="auto"/>
          <w:sz w:val="24"/>
          <w:szCs w:val="24"/>
          <w:highlight w:val="yellow"/>
        </w:rPr>
        <w:t>2</w:t>
      </w:r>
      <w:r>
        <w:rPr>
          <w:rFonts w:ascii="Arial" w:hAnsi="Arial"/>
          <w:color w:val="auto"/>
          <w:sz w:val="24"/>
          <w:szCs w:val="24"/>
        </w:rPr>
        <w:t>.</w:t>
      </w:r>
      <w:r>
        <w:rPr>
          <w:rFonts w:ascii="Arial" w:hAnsi="Arial"/>
          <w:color w:val="auto"/>
          <w:sz w:val="24"/>
          <w:szCs w:val="24"/>
        </w:rPr>
        <w:t xml:space="preserve"> </w:t>
      </w:r>
      <w:bookmarkStart w:id="15" w:name="resistance-and-tolerance-to-e.ferrisi-is"/>
      <w:r>
        <w:rPr>
          <w:rFonts w:ascii="Arial" w:hAnsi="Arial"/>
          <w:color w:val="auto"/>
          <w:sz w:val="24"/>
          <w:szCs w:val="24"/>
        </w:rPr>
        <w:t xml:space="preserve">Resistance and tolerance to </w:t>
      </w:r>
      <w:r>
        <w:rPr>
          <w:rFonts w:ascii="Arial" w:hAnsi="Arial"/>
          <w:i/>
          <w:color w:val="auto"/>
          <w:sz w:val="24"/>
          <w:szCs w:val="24"/>
        </w:rPr>
        <w:t>E. ferrisi</w:t>
      </w:r>
      <w:r>
        <w:rPr>
          <w:rFonts w:ascii="Arial" w:hAnsi="Arial"/>
          <w:color w:val="auto"/>
          <w:sz w:val="24"/>
          <w:szCs w:val="24"/>
        </w:rPr>
        <w:t xml:space="preserve"> isolate Brandenburg64 are uncoupled</w:t>
      </w:r>
      <w:bookmarkEnd w:id="15"/>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isolate Brandenburg64 in our eight mouse groups. First, we tested whether our proxies for resistance and tolerance were different between the mouse groups. We found the maximum number of OPG be statistically different between mouse groups (LRT: G=26.6, df=7, P&lt;0.001; </w:t>
      </w:r>
      <w:r>
        <w:rPr>
          <w:rFonts w:ascii="Arial" w:hAnsi="Arial"/>
          <w:b/>
          <w:color w:val="auto"/>
          <w:sz w:val="24"/>
          <w:szCs w:val="24"/>
        </w:rPr>
        <w:t>Figure 4A</w:t>
      </w:r>
      <w:r>
        <w:rPr>
          <w:rFonts w:ascii="Arial" w:hAnsi="Arial"/>
          <w:b w:val="false"/>
          <w:bCs w:val="false"/>
          <w:color w:val="auto"/>
          <w:sz w:val="24"/>
          <w:szCs w:val="24"/>
        </w:rPr>
        <w:t>).</w:t>
      </w:r>
      <w:r>
        <w:rPr>
          <w:rFonts w:ascii="Arial" w:hAnsi="Arial"/>
          <w:b/>
          <w:color w:val="auto"/>
          <w:sz w:val="24"/>
          <w:szCs w:val="24"/>
        </w:rPr>
        <w:t xml:space="preserve"> </w:t>
      </w:r>
      <w:r>
        <w:rPr>
          <w:rFonts w:ascii="Arial" w:hAnsi="Arial"/>
          <w:color w:val="auto"/>
          <w:sz w:val="24"/>
          <w:szCs w:val="24"/>
        </w:rPr>
        <w:t xml:space="preserve">Tolerance was not found to significantly differ between mouse groups for this parasite isolate (LRT: G=6.8, df=7, P=0.45; </w:t>
      </w:r>
      <w:r>
        <w:rPr>
          <w:rFonts w:ascii="Arial" w:hAnsi="Arial"/>
          <w:b/>
          <w:color w:val="auto"/>
          <w:sz w:val="24"/>
          <w:szCs w:val="24"/>
        </w:rPr>
        <w:t xml:space="preserve">Figure </w:t>
      </w:r>
      <w:commentRangeStart w:id="0"/>
      <w:r>
        <w:rPr>
          <w:rFonts w:ascii="Arial" w:hAnsi="Arial"/>
          <w:b/>
          <w:color w:val="auto"/>
          <w:sz w:val="24"/>
          <w:szCs w:val="24"/>
        </w:rPr>
        <w:t>4C</w:t>
      </w:r>
      <w:r>
        <w:rPr>
          <w:rFonts w:ascii="Arial" w:hAnsi="Arial"/>
          <w:b/>
          <w:color w:val="auto"/>
          <w:sz w:val="24"/>
          <w:szCs w:val="24"/>
        </w:rPr>
      </w:r>
      <w:commentRangeEnd w:id="0"/>
      <w:r>
        <w:commentReference w:id="0"/>
      </w:r>
      <w:r>
        <w:rPr>
          <w:rFonts w:ascii="Arial" w:hAnsi="Arial"/>
          <w:color w:val="auto"/>
          <w:sz w:val="24"/>
          <w:szCs w:val="24"/>
        </w:rPr>
        <w:t xml:space="preserve">). </w:t>
      </w:r>
    </w:p>
    <w:p>
      <w:pPr>
        <w:pStyle w:val="TextBody"/>
        <w:spacing w:lineRule="auto" w:line="480" w:before="0" w:after="283"/>
        <w:jc w:val="both"/>
        <w:rPr/>
      </w:pPr>
      <w:r>
        <w:rPr>
          <w:rFonts w:ascii="Arial" w:hAnsi="Arial"/>
          <w:color w:val="auto"/>
          <w:sz w:val="24"/>
          <w:szCs w:val="24"/>
        </w:rPr>
        <w:t xml:space="preserve">We found a non significant positive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=0.69, P=0.07, N=8; </w:t>
      </w:r>
      <w:r>
        <w:rPr>
          <w:rFonts w:ascii="Arial" w:hAnsi="Arial"/>
          <w:b/>
          <w:color w:val="auto"/>
          <w:sz w:val="24"/>
          <w:szCs w:val="24"/>
        </w:rPr>
        <w:t>Figure 4D</w:t>
      </w:r>
      <w:r>
        <w:rPr>
          <w:rFonts w:ascii="Arial" w:hAnsi="Arial"/>
          <w:color w:val="auto"/>
          <w:sz w:val="24"/>
          <w:szCs w:val="24"/>
        </w:rPr>
        <w:t xml:space="preserve">). </w:t>
      </w:r>
      <w:r>
        <w:rPr>
          <w:rFonts w:ascii="Arial" w:hAnsi="Arial"/>
          <w:color w:val="auto"/>
          <w:sz w:val="24"/>
          <w:szCs w:val="24"/>
          <w:highlight w:val="yellow"/>
        </w:rPr>
        <w:t>Moreover</w:t>
      </w:r>
      <w:r>
        <w:rPr>
          <w:rFonts w:ascii="Arial" w:hAnsi="Arial"/>
          <w:color w:val="auto"/>
          <w:sz w:val="24"/>
          <w:szCs w:val="24"/>
        </w:rPr>
        <w:t xml:space="preserve">, we did not find a correlation between resistance (inverse of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 P=1, N=8; </w:t>
      </w:r>
      <w:r>
        <w:rPr>
          <w:rFonts w:ascii="Arial" w:hAnsi="Arial"/>
          <w:b/>
          <w:color w:val="auto"/>
          <w:sz w:val="24"/>
          <w:szCs w:val="24"/>
        </w:rPr>
        <w:t>Figure 4E</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In conclusion, we did not find indications of resistance-tolerance coupling for </w:t>
      </w:r>
      <w:r>
        <w:rPr>
          <w:rFonts w:ascii="Arial" w:hAnsi="Arial"/>
          <w:i/>
          <w:color w:val="auto"/>
          <w:sz w:val="24"/>
          <w:szCs w:val="24"/>
        </w:rPr>
        <w:t>E. ferrisi</w:t>
      </w:r>
      <w:r>
        <w:rPr>
          <w:rFonts w:ascii="Arial" w:hAnsi="Arial"/>
          <w:color w:val="auto"/>
          <w:sz w:val="24"/>
          <w:szCs w:val="24"/>
        </w:rPr>
        <w:t xml:space="preserve"> isolate Brandenburg64, the different mouse groups infected by this parasite presenting a similar level of tolerance while showing an effect of quantitative resistance on health.</w:t>
      </w:r>
    </w:p>
    <w:p>
      <w:pPr>
        <w:pStyle w:val="Heading2"/>
        <w:spacing w:lineRule="auto" w:line="480" w:before="0" w:after="283"/>
        <w:jc w:val="both"/>
        <w:rPr/>
      </w:pPr>
      <w:r>
        <w:rPr>
          <w:rFonts w:ascii="Arial" w:hAnsi="Arial"/>
          <w:color w:val="auto"/>
          <w:sz w:val="24"/>
          <w:szCs w:val="24"/>
          <w:highlight w:val="yellow"/>
        </w:rPr>
        <w:t>2</w:t>
      </w:r>
      <w:r>
        <w:rPr>
          <w:rFonts w:ascii="Arial" w:hAnsi="Arial"/>
          <w:color w:val="auto"/>
          <w:sz w:val="24"/>
          <w:szCs w:val="24"/>
          <w:highlight w:val="yellow"/>
        </w:rPr>
        <w:t>.</w:t>
      </w:r>
      <w:r>
        <w:rPr>
          <w:rFonts w:ascii="Arial" w:hAnsi="Arial"/>
          <w:color w:val="auto"/>
          <w:sz w:val="24"/>
          <w:szCs w:val="24"/>
          <w:highlight w:val="yellow"/>
        </w:rPr>
        <w:t>3</w:t>
      </w:r>
      <w:r>
        <w:rPr>
          <w:rFonts w:ascii="Arial" w:hAnsi="Arial"/>
          <w:color w:val="auto"/>
          <w:sz w:val="24"/>
          <w:szCs w:val="24"/>
        </w:rPr>
        <w:t xml:space="preserve">. </w:t>
      </w:r>
      <w:bookmarkStart w:id="16" w:name="coupling-between-resistance-and-toleranc"/>
      <w:r>
        <w:rPr>
          <w:rFonts w:ascii="Arial" w:hAnsi="Arial"/>
          <w:color w:val="auto"/>
          <w:sz w:val="24"/>
          <w:szCs w:val="24"/>
        </w:rPr>
        <w:t xml:space="preserve">Coupling between resistance and tolerance to </w:t>
      </w:r>
      <w:r>
        <w:rPr>
          <w:rFonts w:ascii="Arial" w:hAnsi="Arial"/>
          <w:i/>
          <w:color w:val="auto"/>
          <w:sz w:val="24"/>
          <w:szCs w:val="24"/>
        </w:rPr>
        <w:t>E. falciformis</w:t>
      </w:r>
      <w:bookmarkEnd w:id="16"/>
    </w:p>
    <w:p>
      <w:pPr>
        <w:pStyle w:val="FirstParagraph"/>
        <w:spacing w:lineRule="auto" w:line="480" w:before="0" w:after="283"/>
        <w:jc w:val="both"/>
        <w:rPr/>
      </w:pPr>
      <w:r>
        <w:rPr>
          <w:rFonts w:ascii="Arial" w:hAnsi="Arial"/>
          <w:color w:val="auto"/>
          <w:sz w:val="24"/>
          <w:szCs w:val="24"/>
        </w:rPr>
        <w:t xml:space="preserve">We then tested 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 in our eight mouse groups. First, we tested if our proxies for resistance and tolerance were different between the mouse groups. We found the maximum number of OPG to be statistically different between mouse groups (LRT: G=28.6, df=14, P=0.012; </w:t>
      </w:r>
      <w:r>
        <w:rPr>
          <w:rFonts w:ascii="Arial" w:hAnsi="Arial"/>
          <w:b/>
          <w:color w:val="auto"/>
          <w:sz w:val="24"/>
          <w:szCs w:val="24"/>
        </w:rPr>
        <w:t>Figure 5A</w:t>
      </w:r>
      <w:r>
        <w:rPr>
          <w:rFonts w:ascii="Arial" w:hAnsi="Arial"/>
          <w:b w:val="false"/>
          <w:bCs w:val="false"/>
          <w:color w:val="auto"/>
          <w:sz w:val="24"/>
          <w:szCs w:val="24"/>
        </w:rPr>
        <w:t>)</w:t>
      </w:r>
      <w:r>
        <w:rPr>
          <w:rFonts w:ascii="Arial" w:hAnsi="Arial"/>
          <w:color w:val="auto"/>
          <w:sz w:val="24"/>
          <w:szCs w:val="24"/>
        </w:rPr>
        <w:t xml:space="preserve">. </w:t>
      </w:r>
      <w:r>
        <w:rPr>
          <w:rFonts w:ascii="Arial" w:hAnsi="Arial"/>
          <w:color w:val="auto"/>
          <w:sz w:val="24"/>
          <w:szCs w:val="24"/>
        </w:rPr>
        <w:t>C</w:t>
      </w:r>
      <w:r>
        <w:rPr>
          <w:rFonts w:ascii="Arial" w:hAnsi="Arial"/>
          <w:color w:val="auto"/>
          <w:sz w:val="24"/>
          <w:szCs w:val="24"/>
        </w:rPr>
        <w:t xml:space="preserve">ontrary to our results on </w:t>
      </w:r>
      <w:r>
        <w:rPr>
          <w:rFonts w:ascii="Arial" w:hAnsi="Arial"/>
          <w:i/>
          <w:color w:val="auto"/>
          <w:sz w:val="24"/>
          <w:szCs w:val="24"/>
        </w:rPr>
        <w:t>E. ferrisi</w:t>
      </w:r>
      <w:r>
        <w:rPr>
          <w:rFonts w:ascii="Arial" w:hAnsi="Arial"/>
          <w:color w:val="auto"/>
          <w:sz w:val="24"/>
          <w:szCs w:val="24"/>
        </w:rPr>
        <w:t xml:space="preserve"> isolate Brandenburg64, the tolerance slopes for </w:t>
      </w:r>
      <w:r>
        <w:rPr>
          <w:rFonts w:ascii="Arial" w:hAnsi="Arial"/>
          <w:i/>
          <w:color w:val="auto"/>
          <w:sz w:val="24"/>
          <w:szCs w:val="24"/>
        </w:rPr>
        <w:t>E. falciformis</w:t>
      </w:r>
      <w:r>
        <w:rPr>
          <w:rFonts w:ascii="Arial" w:hAnsi="Arial"/>
          <w:color w:val="auto"/>
          <w:sz w:val="24"/>
          <w:szCs w:val="24"/>
        </w:rPr>
        <w:t xml:space="preserve"> isolate Brandenburg88 were different between mouse groups (LRT: G=13.9, df=7, P=0.05; </w:t>
      </w:r>
      <w:r>
        <w:rPr>
          <w:rFonts w:ascii="Arial" w:hAnsi="Arial"/>
          <w:b/>
          <w:color w:val="auto"/>
          <w:sz w:val="24"/>
          <w:szCs w:val="24"/>
        </w:rPr>
        <w:t>Figure 5C</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We detected a strong negative correlation between (inverse of) resistance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=-0.95, P=0.001; </w:t>
      </w:r>
      <w:r>
        <w:rPr>
          <w:rFonts w:ascii="Arial" w:hAnsi="Arial"/>
          <w:b/>
          <w:color w:val="auto"/>
          <w:sz w:val="24"/>
          <w:szCs w:val="24"/>
        </w:rPr>
        <w:t>Figure 5E</w:t>
      </w:r>
      <w:r>
        <w:rPr>
          <w:rFonts w:ascii="Arial" w:hAnsi="Arial"/>
          <w:color w:val="auto"/>
          <w:sz w:val="24"/>
          <w:szCs w:val="24"/>
        </w:rPr>
        <w:t xml:space="preserve">). </w:t>
      </w:r>
      <w:r>
        <w:rPr>
          <w:rFonts w:ascii="Arial" w:hAnsi="Arial"/>
          <w:color w:val="auto"/>
          <w:sz w:val="24"/>
          <w:szCs w:val="24"/>
          <w:highlight w:val="yellow"/>
        </w:rPr>
        <w:t xml:space="preserve">This result was </w:t>
      </w:r>
      <w:r>
        <w:rPr>
          <w:rFonts w:ascii="Arial" w:hAnsi="Arial"/>
          <w:color w:val="auto"/>
          <w:sz w:val="24"/>
          <w:szCs w:val="24"/>
          <w:highlight w:val="yellow"/>
        </w:rPr>
        <w:t xml:space="preserve">robust to the exclusion of the extreme point corresponding to mouse strain PWD (point 8 on the figure;  Spearman’s </w:t>
      </w:r>
      <w:r>
        <w:rPr>
          <w:rFonts w:ascii="Arial" w:hAnsi="Arial"/>
          <w:color w:val="auto"/>
          <w:sz w:val="24"/>
          <w:szCs w:val="24"/>
          <w:highlight w:val="yellow"/>
        </w:rPr>
      </w:r>
      <m:oMath xmlns:m="http://schemas.openxmlformats.org/officeDocument/2006/math">
        <m:r>
          <w:rPr>
            <w:rFonts w:ascii="Cambria Math" w:hAnsi="Cambria Math"/>
          </w:rPr>
          <m:t xml:space="preserve">ρ</m:t>
        </m:r>
      </m:oMath>
      <w:r>
        <w:rPr>
          <w:rFonts w:ascii="Arial" w:hAnsi="Arial"/>
          <w:color w:val="auto"/>
          <w:sz w:val="24"/>
          <w:szCs w:val="24"/>
          <w:highlight w:val="yellow"/>
        </w:rPr>
        <w:t>=-0.93, P&lt;0.01).</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conclude that this correlation is unlikely a statistical artifact, as (1) mouse groups present statistically different values of resistance and tolerance and (2) we found a (non significant) negative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=-0.5, P=0.22; </w:t>
      </w:r>
      <w:r>
        <w:rPr>
          <w:rFonts w:ascii="Arial" w:hAnsi="Arial"/>
          <w:b/>
          <w:color w:val="auto"/>
          <w:sz w:val="24"/>
          <w:szCs w:val="24"/>
        </w:rPr>
        <w:t>Figure 5D</w:t>
      </w:r>
      <w:r>
        <w:rPr>
          <w:rFonts w:ascii="Arial" w:hAnsi="Arial"/>
          <w:color w:val="auto"/>
          <w:sz w:val="24"/>
          <w:szCs w:val="24"/>
        </w:rPr>
        <w:t>), indicating that mouse groups losing more weight also shed less parasites.</w:t>
      </w:r>
    </w:p>
    <w:p>
      <w:pPr>
        <w:pStyle w:val="TextBody"/>
        <w:spacing w:lineRule="auto" w:line="480" w:before="0" w:after="283"/>
        <w:jc w:val="both"/>
        <w:rPr/>
      </w:pPr>
      <w:r>
        <w:rPr>
          <w:rFonts w:ascii="Arial" w:hAnsi="Arial"/>
          <w:color w:val="auto"/>
          <w:sz w:val="24"/>
          <w:szCs w:val="24"/>
        </w:rPr>
        <w:t xml:space="preserve">We conclude that our results indicate the presence of negative resistance-tolerance coupling for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17" w:name="discussion"/>
      <w:r>
        <w:rPr>
          <w:rFonts w:ascii="Arial" w:hAnsi="Arial"/>
          <w:color w:val="auto"/>
          <w:sz w:val="24"/>
          <w:szCs w:val="24"/>
        </w:rPr>
        <w:t>Discussion</w:t>
      </w:r>
      <w:bookmarkEnd w:id="17"/>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In this study, we assessed resistance and tolerance to two closely related parasites, </w:t>
      </w:r>
      <w:r>
        <w:rPr>
          <w:rFonts w:ascii="Arial" w:hAnsi="Arial"/>
          <w:i/>
          <w:color w:val="auto"/>
          <w:sz w:val="24"/>
          <w:szCs w:val="24"/>
        </w:rPr>
        <w:t>E. ferrisi</w:t>
      </w:r>
      <w:r>
        <w:rPr>
          <w:rFonts w:ascii="Arial" w:hAnsi="Arial"/>
          <w:color w:val="auto"/>
          <w:sz w:val="24"/>
          <w:szCs w:val="24"/>
        </w:rPr>
        <w:t xml:space="preserve"> (two isolates) and </w:t>
      </w:r>
      <w:r>
        <w:rPr>
          <w:rFonts w:ascii="Arial" w:hAnsi="Arial"/>
          <w:i/>
          <w:color w:val="auto"/>
          <w:sz w:val="24"/>
          <w:szCs w:val="24"/>
        </w:rPr>
        <w:t>E. falciformis</w:t>
      </w:r>
      <w:r>
        <w:rPr>
          <w:rFonts w:ascii="Arial" w:hAnsi="Arial"/>
          <w:color w:val="auto"/>
          <w:sz w:val="24"/>
          <w:szCs w:val="24"/>
        </w:rPr>
        <w:t xml:space="preserve"> (one isolate), in four mouse strains and their intra-and intersubspecific hybrids. Understanding this coupling has two major implications.</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From a practical "measurement" perspective we can ask whether tolerance can be predicted from resistance, as the latter is easier to measure (e.g. in field sampling). Many studies assess the impact of parasites on host fitness based on resistance. If, as we found in the present study, resistance and tolerance are decoupled this can be missleading. In our host system, the house mice, for example, it has been shown that hybrids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are more resistant to parasites (Baird et al. 2012; Balard et al. 2020), including </w:t>
      </w:r>
      <w:r>
        <w:rPr>
          <w:rFonts w:ascii="Arial" w:hAnsi="Arial"/>
          <w:i/>
          <w:color w:val="auto"/>
          <w:sz w:val="24"/>
          <w:szCs w:val="24"/>
        </w:rPr>
        <w:t>Eimeria</w:t>
      </w:r>
      <w:r>
        <w:rPr>
          <w:rFonts w:ascii="Arial" w:hAnsi="Arial"/>
          <w:color w:val="auto"/>
          <w:sz w:val="24"/>
          <w:szCs w:val="24"/>
        </w:rPr>
        <w:t xml:space="preserve">, but tolerance could not be measured under natural conditions (Balard et al. 2020). The effect of parasites on host fitness in the evolution of the house mouse hybrid zone is thus still rather ambiguous (Baird and Goüy de Bellocq 2019). We show that careful distinction between parasite species is necessary when analysing parasite host interaction (see also Jarquín-Díaz et al. 2019) and that it is indispensable to measure both resistance and tolerance in </w:t>
      </w:r>
      <w:r>
        <w:rPr>
          <w:rFonts w:ascii="Arial" w:hAnsi="Arial"/>
          <w:i/>
          <w:color w:val="auto"/>
          <w:sz w:val="24"/>
          <w:szCs w:val="24"/>
        </w:rPr>
        <w:t>Eimeria</w:t>
      </w:r>
      <w:r>
        <w:rPr>
          <w:rFonts w:ascii="Arial" w:hAnsi="Arial"/>
          <w:color w:val="auto"/>
          <w:sz w:val="24"/>
          <w:szCs w:val="24"/>
        </w:rPr>
        <w:t xml:space="preserve"> infections of house mice.</w:t>
      </w:r>
    </w:p>
    <w:p>
      <w:pPr>
        <w:pStyle w:val="TextBody"/>
        <w:spacing w:lineRule="auto" w:line="480" w:before="0" w:after="283"/>
        <w:jc w:val="both"/>
        <w:rPr/>
      </w:pPr>
      <w:r>
        <w:rPr>
          <w:rFonts w:ascii="Arial" w:hAnsi="Arial"/>
          <w:color w:val="auto"/>
          <w:sz w:val="24"/>
          <w:szCs w:val="24"/>
        </w:rPr>
        <w:t xml:space="preserve">In this work we used the concept of tolerance as used originally in the plant </w:t>
      </w:r>
      <w:r>
        <w:rPr>
          <w:rFonts w:ascii="Arial" w:hAnsi="Arial"/>
          <w:color w:val="auto"/>
          <w:sz w:val="24"/>
          <w:szCs w:val="24"/>
        </w:rPr>
        <w:t>literature</w:t>
      </w:r>
      <w:r>
        <w:rPr>
          <w:rFonts w:ascii="Arial" w:hAnsi="Arial"/>
          <w:color w:val="auto"/>
          <w:sz w:val="24"/>
          <w:szCs w:val="24"/>
        </w:rPr>
        <w:t xml:space="preserve"> and later on </w:t>
      </w:r>
      <w:r>
        <w:rPr>
          <w:rFonts w:ascii="Arial" w:hAnsi="Arial"/>
          <w:color w:val="auto"/>
          <w:sz w:val="24"/>
          <w:szCs w:val="24"/>
        </w:rPr>
        <w:t>transferred</w:t>
      </w:r>
      <w:r>
        <w:rPr>
          <w:rFonts w:ascii="Arial" w:hAnsi="Arial"/>
          <w:color w:val="auto"/>
          <w:sz w:val="24"/>
          <w:szCs w:val="24"/>
        </w:rPr>
        <w:t xml:space="preserve"> to animal studies </w:t>
      </w:r>
      <w:r>
        <w:rPr>
          <w:rFonts w:ascii="Arial" w:hAnsi="Arial"/>
          <w:color w:val="auto"/>
          <w:sz w:val="24"/>
          <w:szCs w:val="24"/>
        </w:rPr>
        <w:t>(</w:t>
      </w:r>
      <w:r>
        <w:rPr>
          <w:rFonts w:eastAsia="Arial" w:cs="Arial" w:ascii="Arial" w:hAnsi="Arial"/>
          <w:color w:val="auto"/>
          <w:sz w:val="24"/>
          <w:szCs w:val="24"/>
          <w:highlight w:val="yellow"/>
        </w:rPr>
        <w:t>Fineblum and Rausher 1995</w:t>
      </w:r>
      <w:r>
        <w:rPr>
          <w:rFonts w:eastAsia="Arial" w:cs="Arial" w:ascii="Arial" w:hAnsi="Arial"/>
          <w:color w:val="auto"/>
          <w:sz w:val="24"/>
          <w:szCs w:val="24"/>
        </w:rPr>
        <w:t>)</w:t>
      </w:r>
      <w:r>
        <w:rPr>
          <w:rFonts w:eastAsia="Arial" w:cs="Arial" w:ascii="Arial" w:hAnsi="Arial"/>
          <w:color w:val="auto"/>
          <w:sz w:val="20"/>
          <w:szCs w:val="20"/>
        </w:rPr>
        <w:t>.</w:t>
      </w:r>
      <w:r>
        <w:rPr>
          <w:rFonts w:ascii="Arial" w:hAnsi="Arial"/>
          <w:color w:val="auto"/>
          <w:sz w:val="24"/>
          <w:szCs w:val="24"/>
        </w:rPr>
        <w:t xml:space="preserve"> This concept of tolerance can be criticised, as it links tolerance </w:t>
      </w:r>
      <w:r>
        <w:rPr>
          <w:rFonts w:ascii="Arial" w:hAnsi="Arial"/>
          <w:color w:val="auto"/>
          <w:sz w:val="24"/>
          <w:szCs w:val="24"/>
          <w:highlight w:val="yellow"/>
        </w:rPr>
        <w:t>mathematically</w:t>
      </w:r>
      <w:r>
        <w:rPr>
          <w:rFonts w:ascii="Arial" w:hAnsi="Arial"/>
          <w:color w:val="auto"/>
          <w:sz w:val="24"/>
          <w:szCs w:val="24"/>
        </w:rPr>
        <w:t xml:space="preserve"> to resistance. Nevertheless, we argue that this view is biologically </w:t>
      </w:r>
      <w:r>
        <w:rPr>
          <w:rFonts w:ascii="Arial" w:hAnsi="Arial"/>
          <w:color w:val="auto"/>
          <w:sz w:val="24"/>
          <w:szCs w:val="24"/>
        </w:rPr>
        <w:t>meaningfu</w:t>
      </w:r>
      <w:r>
        <w:rPr>
          <w:rFonts w:ascii="Arial" w:hAnsi="Arial"/>
          <w:color w:val="auto"/>
          <w:sz w:val="24"/>
          <w:szCs w:val="24"/>
          <w:highlight w:val="yellow"/>
        </w:rPr>
        <w:t>l</w:t>
      </w:r>
      <w:r>
        <w:rPr>
          <w:rFonts w:ascii="Arial" w:hAnsi="Arial"/>
          <w:color w:val="auto"/>
          <w:sz w:val="24"/>
          <w:szCs w:val="24"/>
        </w:rPr>
        <w:t xml:space="preserve"> considering resistance and tolerance as a </w:t>
      </w:r>
      <w:r>
        <w:rPr>
          <w:rFonts w:ascii="Arial" w:hAnsi="Arial"/>
          <w:color w:val="auto"/>
          <w:sz w:val="24"/>
          <w:szCs w:val="24"/>
          <w:highlight w:val="yellow"/>
        </w:rPr>
        <w:t>double</w:t>
      </w:r>
      <w:r>
        <w:rPr>
          <w:rFonts w:ascii="Arial" w:hAnsi="Arial"/>
          <w:color w:val="auto"/>
          <w:sz w:val="24"/>
          <w:szCs w:val="24"/>
        </w:rPr>
        <w:t xml:space="preserve"> defence system, one step limiting the parasite multiplication, the other limiting the impact of this multiplication on fitness-related traits. To limit the possible statistical artifact, our </w:t>
      </w:r>
      <w:r>
        <w:rPr>
          <w:rFonts w:ascii="Arial" w:hAnsi="Arial"/>
          <w:color w:val="auto"/>
          <w:sz w:val="24"/>
          <w:szCs w:val="24"/>
        </w:rPr>
        <w:t>approach</w:t>
      </w:r>
      <w:r>
        <w:rPr>
          <w:rFonts w:ascii="Arial" w:hAnsi="Arial"/>
          <w:color w:val="auto"/>
          <w:sz w:val="24"/>
          <w:szCs w:val="24"/>
        </w:rPr>
        <w:t xml:space="preserve"> did not only consist in </w:t>
      </w:r>
      <w:r>
        <w:rPr>
          <w:rFonts w:ascii="Arial" w:hAnsi="Arial"/>
          <w:color w:val="auto"/>
          <w:sz w:val="24"/>
          <w:szCs w:val="24"/>
        </w:rPr>
        <w:t>calculating</w:t>
      </w:r>
      <w:r>
        <w:rPr>
          <w:rFonts w:ascii="Arial" w:hAnsi="Arial"/>
          <w:color w:val="auto"/>
          <w:sz w:val="24"/>
          <w:szCs w:val="24"/>
        </w:rPr>
        <w:t xml:space="preserve"> blindly correlations between resistance and tolerance, but we also tested differences in resistance, impact on health and tolerance. We additionally excluded the possibility of positive correlation between mean health-effect and mean resistance of each host strains, which could indicate some host strains having few parasites-few effects on health, and others more parasites-more effects on health: this configuration would limit the possibility of detecting an actual resistance-tolerance trade-off.</w:t>
      </w:r>
    </w:p>
    <w:p>
      <w:pPr>
        <w:pStyle w:val="TextBody"/>
        <w:spacing w:lineRule="auto" w:line="480" w:before="0" w:after="283"/>
        <w:jc w:val="both"/>
        <w:rPr/>
      </w:pPr>
      <w:r>
        <w:rPr>
          <w:rFonts w:ascii="Arial" w:hAnsi="Arial"/>
          <w:color w:val="auto"/>
          <w:sz w:val="24"/>
          <w:szCs w:val="24"/>
        </w:rPr>
        <w:t xml:space="preserve">Differences between parasite species could explain the evolution of different strategies: </w:t>
      </w:r>
      <w:r>
        <w:rPr>
          <w:rFonts w:ascii="Arial" w:hAnsi="Arial"/>
          <w:i/>
          <w:color w:val="auto"/>
          <w:sz w:val="24"/>
          <w:szCs w:val="24"/>
        </w:rPr>
        <w:t>E. ferrisi</w:t>
      </w:r>
      <w:r>
        <w:rPr>
          <w:rFonts w:ascii="Arial" w:hAnsi="Arial"/>
          <w:color w:val="auto"/>
          <w:sz w:val="24"/>
          <w:szCs w:val="24"/>
        </w:rPr>
        <w:t xml:space="preserve"> commits to sexual reproduction after a relatively short time with few cycles of asexual expansion (Al-khlifeh et al. 2019; Ankrom, Chobotar, and Ernst 1975), while </w:t>
      </w:r>
      <w:r>
        <w:rPr>
          <w:rFonts w:ascii="Arial" w:hAnsi="Arial"/>
          <w:i/>
          <w:color w:val="auto"/>
          <w:sz w:val="24"/>
          <w:szCs w:val="24"/>
        </w:rPr>
        <w:t>E. falciformis</w:t>
      </w:r>
      <w:r>
        <w:rPr>
          <w:rFonts w:ascii="Arial" w:hAnsi="Arial"/>
          <w:color w:val="auto"/>
          <w:sz w:val="24"/>
          <w:szCs w:val="24"/>
        </w:rPr>
        <w:t xml:space="preserve"> has a relatively longer life cycle (Al-khlifeh et al. 2019; Haberkorn 1970). As </w:t>
      </w:r>
      <w:r>
        <w:rPr>
          <w:rFonts w:ascii="Arial" w:hAnsi="Arial"/>
          <w:i/>
          <w:color w:val="auto"/>
          <w:sz w:val="24"/>
          <w:szCs w:val="24"/>
        </w:rPr>
        <w:t>E. ferrisi</w:t>
      </w:r>
      <w:r>
        <w:rPr>
          <w:rFonts w:ascii="Arial" w:hAnsi="Arial"/>
          <w:color w:val="auto"/>
          <w:sz w:val="24"/>
          <w:szCs w:val="24"/>
        </w:rPr>
        <w:t xml:space="preserve"> infections do not reach extremely high intensities, high tolerance might be the optimal strategy for both house mouse subspecies. Resistance could then evolve relatively freely without any major impact of the parasite on the hosts’ health. </w:t>
      </w:r>
      <w:r>
        <w:rPr>
          <w:rFonts w:ascii="Arial" w:hAnsi="Arial"/>
          <w:color w:val="auto"/>
          <w:sz w:val="24"/>
          <w:szCs w:val="24"/>
          <w:highlight w:val="magenta"/>
        </w:rPr>
        <w:t xml:space="preserve">Moreover, our results did not support host adaptation of </w:t>
      </w:r>
      <w:r>
        <w:rPr>
          <w:rFonts w:ascii="Arial" w:hAnsi="Arial"/>
          <w:i/>
          <w:color w:val="auto"/>
          <w:sz w:val="24"/>
          <w:szCs w:val="24"/>
          <w:highlight w:val="magenta"/>
        </w:rPr>
        <w:t>E. ferrisi</w:t>
      </w:r>
      <w:r>
        <w:rPr>
          <w:rFonts w:ascii="Arial" w:hAnsi="Arial"/>
          <w:color w:val="auto"/>
          <w:sz w:val="24"/>
          <w:szCs w:val="24"/>
          <w:highlight w:val="magenta"/>
        </w:rPr>
        <w:t xml:space="preserve">, which might be explained by the absence of host-parasite coevolution caused by uncoupling of parasite and host fitness. </w:t>
      </w:r>
      <w:r>
        <w:rPr>
          <w:rFonts w:ascii="Arial" w:hAnsi="Arial"/>
          <w:color w:val="auto"/>
          <w:sz w:val="24"/>
          <w:szCs w:val="24"/>
        </w:rPr>
        <w:t xml:space="preserve">In the case of </w:t>
      </w:r>
      <w:r>
        <w:rPr>
          <w:rFonts w:ascii="Arial" w:hAnsi="Arial"/>
          <w:i/>
          <w:color w:val="auto"/>
          <w:sz w:val="24"/>
          <w:szCs w:val="24"/>
        </w:rPr>
        <w:t>E. falciformis</w:t>
      </w:r>
      <w:r>
        <w:rPr>
          <w:rFonts w:ascii="Arial" w:hAnsi="Arial"/>
          <w:color w:val="auto"/>
          <w:sz w:val="24"/>
          <w:szCs w:val="24"/>
        </w:rPr>
        <w:t xml:space="preserve">, the long life cycle might lead to high tissue load. Tissue damage is observed during sexual reproduction for this parasite (Ehret et al. 2017) and might mean that a certain level of resistance is required. On the other hand, immunopathology has been observed in advanced </w:t>
      </w:r>
      <w:r>
        <w:rPr>
          <w:rFonts w:ascii="Arial" w:hAnsi="Arial"/>
          <w:i/>
          <w:color w:val="auto"/>
          <w:sz w:val="24"/>
          <w:szCs w:val="24"/>
        </w:rPr>
        <w:t>E. falciformis</w:t>
      </w:r>
      <w:r>
        <w:rPr>
          <w:rFonts w:ascii="Arial" w:hAnsi="Arial"/>
          <w:color w:val="auto"/>
          <w:sz w:val="24"/>
          <w:szCs w:val="24"/>
        </w:rPr>
        <w:t xml:space="preserve"> infections (Stange et al. 2012). These intrinsic characteristics of </w:t>
      </w:r>
      <w:r>
        <w:rPr>
          <w:rFonts w:ascii="Arial" w:hAnsi="Arial"/>
          <w:i/>
          <w:color w:val="auto"/>
          <w:sz w:val="24"/>
          <w:szCs w:val="24"/>
        </w:rPr>
        <w:t>E. falciformis</w:t>
      </w:r>
      <w:r>
        <w:rPr>
          <w:rFonts w:ascii="Arial" w:hAnsi="Arial"/>
          <w:color w:val="auto"/>
          <w:sz w:val="24"/>
          <w:szCs w:val="24"/>
        </w:rPr>
        <w:t xml:space="preserve"> might lead to multiple different optima for resistance and tolerance, leading to a trade-off.</w:t>
      </w:r>
    </w:p>
    <w:p>
      <w:pPr>
        <w:pStyle w:val="TextBody"/>
        <w:spacing w:lineRule="auto" w:line="480" w:before="0" w:after="283"/>
        <w:jc w:val="both"/>
        <w:rPr/>
      </w:pPr>
      <w:r>
        <w:rPr>
          <w:rFonts w:ascii="Arial" w:hAnsi="Arial"/>
          <w:color w:val="auto"/>
          <w:sz w:val="24"/>
          <w:szCs w:val="24"/>
        </w:rPr>
        <w:t xml:space="preserve">More generally, in a evolutionary perspective, coupling between resistance and tolerance might help determine if coevolution between host and parasite can be expected: a host-parasite system in which one finds negative coupling between tolerance and resistance would be an especially promising system for studies of host-parasite co-evolution. Indeed, coevolution in host-parasite systems is often assumed but rarely proven (Woolhouse et al. 2002). </w:t>
      </w:r>
      <w:r>
        <w:rPr>
          <w:rFonts w:ascii="Arial" w:hAnsi="Arial"/>
          <w:color w:val="auto"/>
          <w:sz w:val="24"/>
          <w:szCs w:val="24"/>
        </w:rPr>
        <w:t>J</w:t>
      </w:r>
      <w:r>
        <w:rPr>
          <w:rFonts w:ascii="Arial" w:hAnsi="Arial"/>
          <w:color w:val="auto"/>
          <w:sz w:val="24"/>
          <w:szCs w:val="24"/>
        </w:rPr>
        <w:t xml:space="preserve">anzen </w:t>
      </w:r>
      <w:r>
        <w:rPr>
          <w:rFonts w:ascii="Arial" w:hAnsi="Arial"/>
          <w:color w:val="auto"/>
          <w:sz w:val="24"/>
          <w:szCs w:val="24"/>
        </w:rPr>
        <w:t>(</w:t>
      </w:r>
      <w:r>
        <w:rPr>
          <w:rFonts w:ascii="Arial" w:hAnsi="Arial"/>
          <w:color w:val="auto"/>
          <w:sz w:val="24"/>
          <w:szCs w:val="24"/>
        </w:rPr>
        <w:t>1980) notes that not all parasite-host systems are coevolving. The presence of efficient host defences against a given parasite is not necessarily produced in response to this parasite specifically and the parasite does not necessarily respond specifically. In the mouse-</w:t>
      </w:r>
      <w:r>
        <w:rPr>
          <w:rFonts w:ascii="Arial" w:hAnsi="Arial"/>
          <w:i/>
          <w:color w:val="auto"/>
          <w:sz w:val="24"/>
          <w:szCs w:val="24"/>
        </w:rPr>
        <w:t>E. ferrisi</w:t>
      </w:r>
      <w:r>
        <w:rPr>
          <w:rFonts w:ascii="Arial" w:hAnsi="Arial"/>
          <w:color w:val="auto"/>
          <w:sz w:val="24"/>
          <w:szCs w:val="24"/>
        </w:rPr>
        <w:t xml:space="preserve"> system, where resistance and tolerance are decoupled, host and parasite fitness might be decoupled as a result, </w:t>
      </w:r>
      <w:r>
        <w:rPr>
          <w:rFonts w:ascii="Arial" w:hAnsi="Arial"/>
          <w:color w:val="auto"/>
          <w:sz w:val="24"/>
          <w:szCs w:val="24"/>
          <w:highlight w:val="magenta"/>
        </w:rPr>
        <w:t>making host-parasite coevolution less likely</w:t>
      </w:r>
      <w:r>
        <w:rPr>
          <w:rFonts w:ascii="Arial" w:hAnsi="Arial"/>
          <w:color w:val="auto"/>
          <w:sz w:val="24"/>
          <w:szCs w:val="24"/>
        </w:rPr>
        <w:t>. In the mouse-</w:t>
      </w:r>
      <w:r>
        <w:rPr>
          <w:rFonts w:ascii="Arial" w:hAnsi="Arial"/>
          <w:i/>
          <w:color w:val="auto"/>
          <w:sz w:val="24"/>
          <w:szCs w:val="24"/>
        </w:rPr>
        <w:t>E. falciformis</w:t>
      </w:r>
      <w:r>
        <w:rPr>
          <w:rFonts w:ascii="Arial" w:hAnsi="Arial"/>
          <w:color w:val="auto"/>
          <w:sz w:val="24"/>
          <w:szCs w:val="24"/>
        </w:rPr>
        <w:t xml:space="preserve"> system we found a negative coupling between tolerance and resistance, making coevolution between host and parasite more likely.</w:t>
      </w:r>
    </w:p>
    <w:p>
      <w:pPr>
        <w:pStyle w:val="TextBody"/>
        <w:spacing w:lineRule="auto" w:line="480" w:before="0" w:after="283"/>
        <w:jc w:val="both"/>
        <w:rPr/>
      </w:pPr>
      <w:r>
        <w:rPr>
          <w:rFonts w:ascii="Arial" w:hAnsi="Arial"/>
          <w:color w:val="auto"/>
          <w:sz w:val="24"/>
          <w:szCs w:val="24"/>
        </w:rPr>
        <w:t>In conclusion, we argue that the difference between resistance and tolerance coupling in two different parasites can guide research in the house mouse system:</w:t>
      </w:r>
      <w:r>
        <w:rPr>
          <w:rFonts w:ascii="Arial" w:hAnsi="Arial"/>
          <w:color w:val="auto"/>
          <w:sz w:val="24"/>
          <w:szCs w:val="24"/>
          <w:highlight w:val="magenta"/>
        </w:rPr>
        <w:t xml:space="preserve"> if the effects of host hybridisation should be studied independently of potential host-parasite coadaptation, a parasite species leading to uncoupling between resistance and tolerance of the host (e.g. </w:t>
      </w:r>
      <w:r>
        <w:rPr>
          <w:rFonts w:ascii="Arial" w:hAnsi="Arial"/>
          <w:i/>
          <w:color w:val="auto"/>
          <w:sz w:val="24"/>
          <w:szCs w:val="24"/>
          <w:highlight w:val="magenta"/>
        </w:rPr>
        <w:t>E. ferrisi</w:t>
      </w:r>
      <w:r>
        <w:rPr>
          <w:rFonts w:ascii="Arial" w:hAnsi="Arial"/>
          <w:color w:val="auto"/>
          <w:sz w:val="24"/>
          <w:szCs w:val="24"/>
          <w:highlight w:val="magenta"/>
        </w:rPr>
        <w:t>) might be the most suitable parasite</w:t>
      </w:r>
      <w:r>
        <w:rPr>
          <w:rFonts w:ascii="Arial" w:hAnsi="Arial"/>
          <w:color w:val="auto"/>
          <w:sz w:val="24"/>
          <w:szCs w:val="24"/>
        </w:rPr>
        <w:t xml:space="preserve">. If coevolution between hosts and parasites should be studied, a parasite species for which resistance and tolerance of the host are negatively correlated (e.g. </w:t>
      </w:r>
      <w:r>
        <w:rPr>
          <w:rFonts w:ascii="Arial" w:hAnsi="Arial"/>
          <w:i/>
          <w:color w:val="auto"/>
          <w:sz w:val="24"/>
          <w:szCs w:val="24"/>
        </w:rPr>
        <w:t>E. falciformis</w:t>
      </w:r>
      <w:r>
        <w:rPr>
          <w:rFonts w:ascii="Arial" w:hAnsi="Arial"/>
          <w:color w:val="auto"/>
          <w:sz w:val="24"/>
          <w:szCs w:val="24"/>
        </w:rPr>
        <w:t>) would be a more plausible target. Generally, we showed that the coupling between resistance and tolerance can differ between closely related parasite species and we argue that this trait of a host-parasite system determines the questions to be best approached with a particular parasite.</w:t>
      </w:r>
      <w:r>
        <w:br w:type="page"/>
      </w:r>
    </w:p>
    <w:p>
      <w:pPr>
        <w:pStyle w:val="Heading1"/>
        <w:spacing w:lineRule="auto" w:line="480" w:before="0" w:after="283"/>
        <w:jc w:val="both"/>
        <w:rPr/>
      </w:pPr>
      <w:bookmarkStart w:id="18" w:name="tables"/>
      <w:r>
        <w:rPr>
          <w:rFonts w:ascii="Arial" w:hAnsi="Arial"/>
          <w:color w:val="auto"/>
          <w:sz w:val="24"/>
          <w:szCs w:val="24"/>
        </w:rPr>
        <w:t>Tables</w:t>
      </w:r>
      <w:bookmarkEnd w:id="18"/>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037330" cy="2784475"/>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4037330" cy="2784475"/>
                    </a:xfrm>
                    <a:prstGeom prst="rect">
                      <a:avLst/>
                    </a:prstGeom>
                  </pic:spPr>
                </pic:pic>
              </a:graphicData>
            </a:graphic>
          </wp:anchor>
        </w:drawing>
      </w:r>
      <w:r>
        <w:rPr>
          <w:rFonts w:ascii="Arial" w:hAnsi="Arial"/>
          <w:b/>
          <w:i w:val="false"/>
          <w:iCs w:val="false"/>
          <w:color w:val="auto"/>
          <w:sz w:val="24"/>
          <w:szCs w:val="24"/>
        </w:rPr>
        <w:t>Table 1.</w:t>
      </w:r>
      <w:r>
        <w:rPr>
          <w:rFonts w:ascii="Arial" w:hAnsi="Arial"/>
          <w:i w:val="false"/>
          <w:iCs w:val="false"/>
          <w:color w:val="auto"/>
          <w:sz w:val="24"/>
          <w:szCs w:val="24"/>
        </w:rPr>
        <w:t xml:space="preserve"> Infection experiment design.</w:t>
      </w:r>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970020" cy="316293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3970020" cy="3162935"/>
                    </a:xfrm>
                    <a:prstGeom prst="rect">
                      <a:avLst/>
                    </a:prstGeom>
                  </pic:spPr>
                </pic:pic>
              </a:graphicData>
            </a:graphic>
          </wp:anchor>
        </w:drawing>
      </w:r>
      <w:r>
        <w:rPr>
          <w:rFonts w:ascii="Arial" w:hAnsi="Arial"/>
          <w:b/>
          <w:i w:val="false"/>
          <w:iCs w:val="false"/>
          <w:color w:val="auto"/>
          <w:sz w:val="24"/>
          <w:szCs w:val="24"/>
        </w:rPr>
        <w:t>Table 2.</w:t>
      </w:r>
      <w:r>
        <w:rPr>
          <w:rFonts w:ascii="Arial" w:hAnsi="Arial"/>
          <w:i w:val="false"/>
          <w:iCs w:val="false"/>
          <w:color w:val="auto"/>
          <w:sz w:val="24"/>
          <w:szCs w:val="24"/>
        </w:rPr>
        <w:t xml:space="preserve"> Contingency table: number of mice and status at dpi 11 for each mouse group upon infection with </w:t>
      </w:r>
      <w:r>
        <w:rPr>
          <w:rFonts w:ascii="Arial" w:hAnsi="Arial"/>
          <w:b w:val="false"/>
          <w:bCs w:val="false"/>
          <w:i/>
          <w:iCs/>
          <w:color w:val="auto"/>
          <w:sz w:val="24"/>
          <w:szCs w:val="24"/>
        </w:rPr>
        <w:t>E. falciformis</w:t>
      </w:r>
      <w:r>
        <w:rPr>
          <w:rFonts w:ascii="Arial" w:hAnsi="Arial"/>
          <w:i w:val="false"/>
          <w:iCs w:val="false"/>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19" w:name="figures-legends"/>
      <w:r>
        <w:rPr>
          <w:rFonts w:ascii="Arial" w:hAnsi="Arial"/>
          <w:color w:val="auto"/>
          <w:sz w:val="24"/>
          <w:szCs w:val="24"/>
        </w:rPr>
        <w:t>Figures legends</w:t>
      </w:r>
      <w:bookmarkEnd w:id="19"/>
    </w:p>
    <w:p>
      <w:pPr>
        <w:pStyle w:val="FirstParagraph"/>
        <w:spacing w:lineRule="auto" w:line="480" w:before="0" w:after="283"/>
        <w:jc w:val="both"/>
        <w:rPr>
          <w:rFonts w:ascii="Arial" w:hAnsi="Arial"/>
          <w:color w:val="auto"/>
          <w:sz w:val="24"/>
          <w:szCs w:val="24"/>
        </w:rPr>
      </w:pPr>
      <w:r>
        <w:rPr>
          <w:rFonts w:ascii="Arial" w:hAnsi="Arial"/>
          <w:b/>
          <w:color w:val="auto"/>
          <w:sz w:val="24"/>
          <w:szCs w:val="24"/>
        </w:rPr>
        <w:t>Figure 1. Parasite isolates and mouse wild-derived strains.</w:t>
      </w:r>
      <w:r>
        <w:rPr>
          <w:rFonts w:ascii="Arial" w:hAnsi="Arial"/>
          <w:color w:val="auto"/>
          <w:sz w:val="24"/>
          <w:szCs w:val="24"/>
        </w:rPr>
        <w:t xml:space="preserve"> (A) Map showing locations at which mice were collected for breeding of mouse strains and isolation of parasites. The purple line is an estimation of the center of the house mouse hybrid zone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based on sampling and genotyping of mice in this area (Balard et al. 2020; Ďureje et al. 2012; Macholán et al. 2019). (B) The eight mouse groups (parents and F1s) used in our experimental infections.</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2. Parasite density (A) and </w:t>
      </w:r>
      <w:r>
        <w:rPr>
          <w:rFonts w:ascii="Arial" w:hAnsi="Arial"/>
          <w:b/>
          <w:color w:val="auto"/>
          <w:sz w:val="24"/>
          <w:szCs w:val="24"/>
          <w:highlight w:val="yellow"/>
        </w:rPr>
        <w:t>host</w:t>
      </w:r>
      <w:r>
        <w:rPr>
          <w:rFonts w:ascii="Arial" w:hAnsi="Arial"/>
          <w:b/>
          <w:color w:val="auto"/>
          <w:sz w:val="24"/>
          <w:szCs w:val="24"/>
        </w:rPr>
        <w:t xml:space="preserve"> </w:t>
      </w:r>
      <w:r>
        <w:rPr>
          <w:rFonts w:ascii="Arial" w:hAnsi="Arial"/>
          <w:b/>
          <w:color w:val="auto"/>
          <w:sz w:val="24"/>
          <w:szCs w:val="24"/>
        </w:rPr>
        <w:t xml:space="preserve">relative weight (B) during </w:t>
      </w:r>
      <w:r>
        <w:rPr>
          <w:rFonts w:ascii="Arial" w:hAnsi="Arial"/>
          <w:b/>
          <w:i/>
          <w:color w:val="auto"/>
          <w:sz w:val="24"/>
          <w:szCs w:val="24"/>
        </w:rPr>
        <w:t>Eimeria</w:t>
      </w:r>
      <w:r>
        <w:rPr>
          <w:rFonts w:ascii="Arial" w:hAnsi="Arial"/>
          <w:b/>
          <w:color w:val="auto"/>
          <w:sz w:val="24"/>
          <w:szCs w:val="24"/>
        </w:rPr>
        <w:t xml:space="preserve"> infection.</w:t>
      </w:r>
      <w:r>
        <w:rPr>
          <w:rFonts w:ascii="Arial" w:hAnsi="Arial"/>
          <w:color w:val="auto"/>
          <w:sz w:val="24"/>
          <w:szCs w:val="24"/>
        </w:rPr>
        <w:t xml:space="preserve"> Parasite density is calculated as number of oocysts detected (in millions) per gram of feces, </w:t>
      </w:r>
      <w:r>
        <w:rPr>
          <w:rFonts w:ascii="Arial" w:hAnsi="Arial"/>
          <w:color w:val="auto"/>
          <w:sz w:val="24"/>
          <w:szCs w:val="24"/>
          <w:highlight w:val="yellow"/>
        </w:rPr>
        <w:t>host</w:t>
      </w:r>
      <w:r>
        <w:rPr>
          <w:rFonts w:ascii="Arial" w:hAnsi="Arial"/>
          <w:color w:val="auto"/>
          <w:sz w:val="24"/>
          <w:szCs w:val="24"/>
        </w:rPr>
        <w:t xml:space="preserve"> </w:t>
      </w:r>
      <w:r>
        <w:rPr>
          <w:rFonts w:ascii="Arial" w:hAnsi="Arial"/>
          <w:color w:val="auto"/>
          <w:sz w:val="24"/>
          <w:szCs w:val="24"/>
        </w:rPr>
        <w:t xml:space="preserve">relative weight is calculated as the percentage of weight compared to day 0. Mean and 95% CI are plotted for each parasite isolate. All mouse groups are pooled together </w:t>
      </w:r>
      <w:r>
        <w:rPr>
          <w:rFonts w:ascii="Arial" w:hAnsi="Arial"/>
          <w:color w:val="auto"/>
          <w:sz w:val="24"/>
          <w:szCs w:val="24"/>
          <w:highlight w:val="yellow"/>
        </w:rPr>
        <w:t>for each parasite isolate</w:t>
      </w:r>
      <w:r>
        <w:rPr>
          <w:rFonts w:ascii="Arial" w:hAnsi="Arial"/>
          <w:color w:val="auto"/>
          <w:sz w:val="24"/>
          <w:szCs w:val="24"/>
        </w:rPr>
        <w:t>.</w:t>
      </w:r>
    </w:p>
    <w:p>
      <w:pPr>
        <w:pStyle w:val="TextBody"/>
        <w:spacing w:lineRule="auto" w:line="480" w:before="0" w:after="283"/>
        <w:jc w:val="both"/>
        <w:rPr/>
      </w:pPr>
      <w:r>
        <w:rPr>
          <w:rFonts w:ascii="Arial" w:hAnsi="Arial"/>
          <w:b/>
          <w:color w:val="auto"/>
          <w:sz w:val="24"/>
          <w:szCs w:val="24"/>
        </w:rPr>
        <w:t xml:space="preserve">Figure 4. No indication of resistance-tolerance coupling for </w:t>
      </w:r>
      <w:r>
        <w:rPr>
          <w:rFonts w:ascii="Arial" w:hAnsi="Arial"/>
          <w:b/>
          <w:i/>
          <w:color w:val="auto"/>
          <w:sz w:val="24"/>
          <w:szCs w:val="24"/>
        </w:rPr>
        <w:t>E. ferrisi</w:t>
      </w:r>
      <w:r>
        <w:rPr>
          <w:rFonts w:ascii="Arial" w:hAnsi="Arial"/>
          <w:b/>
          <w:color w:val="auto"/>
          <w:sz w:val="24"/>
          <w:szCs w:val="24"/>
        </w:rPr>
        <w:t xml:space="preserve"> isolate Brandenburg64.</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and relative weight loss differ between mouse groups, but tolerance is similar. Right side: non significant positive correlation between mean maximum oocysts per gram of feces and mean relative weight loss (D) and absence of correlation between maximum oocysts per gram of feces used as a proxy for (inverse of) resistance and tolerance (E); Grey error bars represent 95% confidence intervals. Our results do not support coupling between resistance and tolerance </w:t>
      </w:r>
      <w:r>
        <w:rPr>
          <w:rFonts w:ascii="Arial" w:hAnsi="Arial"/>
          <w:i/>
          <w:color w:val="auto"/>
          <w:sz w:val="24"/>
          <w:szCs w:val="24"/>
        </w:rPr>
        <w:t>E. ferrisi</w:t>
      </w:r>
      <w:r>
        <w:rPr>
          <w:rFonts w:ascii="Arial" w:hAnsi="Arial"/>
          <w:color w:val="auto"/>
          <w:sz w:val="24"/>
          <w:szCs w:val="24"/>
        </w:rPr>
        <w:t xml:space="preserve"> isolate Brandenburg64.</w:t>
      </w:r>
    </w:p>
    <w:p>
      <w:pPr>
        <w:pStyle w:val="TextBody"/>
        <w:spacing w:lineRule="auto" w:line="480" w:before="0" w:after="283"/>
        <w:jc w:val="both"/>
        <w:rPr>
          <w:rFonts w:ascii="Arial" w:hAnsi="Arial"/>
          <w:b/>
          <w:b/>
          <w:bCs/>
          <w:color w:val="auto"/>
          <w:sz w:val="24"/>
          <w:szCs w:val="24"/>
        </w:rPr>
      </w:pPr>
      <w:r>
        <w:rPr>
          <w:rFonts w:ascii="Arial" w:hAnsi="Arial"/>
          <w:b/>
          <w:color w:val="auto"/>
          <w:sz w:val="24"/>
          <w:szCs w:val="24"/>
        </w:rPr>
        <w:t xml:space="preserve">Figure 5. Coupling between resistance and tolerance for </w:t>
      </w:r>
      <w:r>
        <w:rPr>
          <w:rFonts w:ascii="Arial" w:hAnsi="Arial"/>
          <w:b/>
          <w:i/>
          <w:color w:val="auto"/>
          <w:sz w:val="24"/>
          <w:szCs w:val="24"/>
        </w:rPr>
        <w:t>E. falciformis</w:t>
      </w:r>
      <w:r>
        <w:rPr>
          <w:rFonts w:ascii="Arial" w:hAnsi="Arial"/>
          <w:b/>
          <w:color w:val="auto"/>
          <w:sz w:val="24"/>
          <w:szCs w:val="24"/>
        </w:rPr>
        <w:t xml:space="preserve"> isolate Brandenburg88.</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relative weight loss and tolerance differ between mouse groups. Right side: non significant negative correlation between mean maximum oocysts per gram of feces and mean relative weight loss (D) and strong negative correlation between maximum oocysts per gram of feces used as a proxy for (inverse of) resistance and tolerance (E); Grey error bars represent 95% confidence intervals. Our results support coupling between resistance and tolerance </w:t>
      </w:r>
      <w:r>
        <w:rPr>
          <w:rFonts w:ascii="Arial" w:hAnsi="Arial"/>
          <w:i/>
          <w:color w:val="auto"/>
          <w:sz w:val="24"/>
          <w:szCs w:val="24"/>
        </w:rPr>
        <w:t>E. falciformis</w:t>
      </w:r>
      <w:r>
        <w:rPr>
          <w:rFonts w:ascii="Arial" w:hAnsi="Arial"/>
          <w:color w:val="auto"/>
          <w:sz w:val="24"/>
          <w:szCs w:val="24"/>
        </w:rPr>
        <w:t xml:space="preserve"> isolate Brandenburg88.</w:t>
      </w:r>
      <w:r>
        <w:br w:type="page"/>
      </w:r>
    </w:p>
    <w:p>
      <w:pPr>
        <w:pStyle w:val="TextBody"/>
        <w:spacing w:lineRule="auto" w:line="480" w:before="0" w:after="283"/>
        <w:jc w:val="both"/>
        <w:rPr>
          <w:b/>
          <w:b/>
          <w:bCs/>
        </w:rPr>
      </w:pPr>
      <w:r>
        <w:rPr>
          <w:rFonts w:ascii="Arial" w:hAnsi="Arial"/>
          <w:b/>
          <w:bCs/>
          <w:color w:val="auto"/>
          <w:sz w:val="24"/>
          <w:szCs w:val="24"/>
        </w:rPr>
        <w:t>Figures</w:t>
      </w:r>
    </w:p>
    <w:p>
      <w:pPr>
        <w:pStyle w:val="ImageCaption"/>
        <w:spacing w:lineRule="auto" w:line="480" w:before="0" w:after="283"/>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5120" cy="29102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405120" cy="2910205"/>
                    </a:xfrm>
                    <a:prstGeom prst="rect">
                      <a:avLst/>
                    </a:prstGeom>
                  </pic:spPr>
                </pic:pic>
              </a:graphicData>
            </a:graphic>
          </wp:anchor>
        </w:drawing>
      </w:r>
      <w:r>
        <w:rPr>
          <w:rFonts w:ascii="Arial" w:hAnsi="Arial"/>
          <w:b/>
          <w:bCs/>
          <w:i w:val="false"/>
          <w:iCs w:val="false"/>
          <w:color w:val="auto"/>
          <w:sz w:val="24"/>
          <w:szCs w:val="24"/>
        </w:rPr>
        <w:t>Figure 1.</w:t>
      </w:r>
      <w:r>
        <w:rPr>
          <w:rFonts w:ascii="Arial" w:hAnsi="Arial"/>
          <w:color w:val="auto"/>
          <w:sz w:val="24"/>
          <w:szCs w:val="24"/>
        </w:rPr>
        <w:t xml:space="preserve"> </w:t>
      </w:r>
      <w:r>
        <w:rPr>
          <w:rFonts w:ascii="Arial" w:hAnsi="Arial"/>
          <w:i w:val="false"/>
          <w:iCs w:val="false"/>
          <w:color w:val="auto"/>
          <w:sz w:val="24"/>
          <w:szCs w:val="24"/>
        </w:rPr>
        <w:t>Parasite isolates and mouse wild-derived strains.</w:t>
      </w:r>
    </w:p>
    <w:p>
      <w:pPr>
        <w:pStyle w:val="ImageCaption"/>
        <w:spacing w:lineRule="auto" w:line="480" w:before="0" w:after="283"/>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04230" cy="28130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5904230" cy="2813050"/>
                    </a:xfrm>
                    <a:prstGeom prst="rect">
                      <a:avLst/>
                    </a:prstGeom>
                  </pic:spPr>
                </pic:pic>
              </a:graphicData>
            </a:graphic>
          </wp:anchor>
        </w:drawing>
      </w:r>
      <w:r>
        <w:rPr>
          <w:rFonts w:ascii="Arial" w:hAnsi="Arial"/>
          <w:b/>
          <w:bCs/>
          <w:i w:val="false"/>
          <w:iCs w:val="false"/>
          <w:color w:val="auto"/>
          <w:sz w:val="24"/>
          <w:szCs w:val="24"/>
        </w:rPr>
        <w:t>Figure 2.</w:t>
      </w:r>
      <w:r>
        <w:rPr>
          <w:rFonts w:ascii="Arial" w:hAnsi="Arial"/>
          <w:i w:val="false"/>
          <w:iCs w:val="false"/>
          <w:color w:val="auto"/>
          <w:sz w:val="24"/>
          <w:szCs w:val="24"/>
        </w:rPr>
        <w:t xml:space="preserve"> </w:t>
      </w:r>
      <w:r>
        <w:rPr>
          <w:rFonts w:ascii="Arial" w:hAnsi="Arial"/>
          <w:i w:val="false"/>
          <w:iCs w:val="false"/>
          <w:color w:val="auto"/>
          <w:sz w:val="24"/>
          <w:szCs w:val="24"/>
        </w:rPr>
        <w:t>Parasite density (A) and relative weight (B) during</w:t>
      </w:r>
      <w:r>
        <w:rPr>
          <w:rFonts w:ascii="Arial" w:hAnsi="Arial"/>
          <w:color w:val="auto"/>
          <w:sz w:val="24"/>
          <w:szCs w:val="24"/>
        </w:rPr>
        <w:t xml:space="preserve"> </w:t>
      </w:r>
      <w:r>
        <w:rPr>
          <w:rFonts w:ascii="Arial" w:hAnsi="Arial"/>
          <w:i/>
          <w:color w:val="auto"/>
          <w:sz w:val="24"/>
          <w:szCs w:val="24"/>
        </w:rPr>
        <w:t>Eimeria</w:t>
      </w:r>
      <w:r>
        <w:rPr>
          <w:rFonts w:ascii="Arial" w:hAnsi="Arial"/>
          <w:color w:val="auto"/>
          <w:sz w:val="24"/>
          <w:szCs w:val="24"/>
        </w:rPr>
        <w:t xml:space="preserve"> </w:t>
      </w:r>
      <w:r>
        <w:rPr>
          <w:rFonts w:ascii="Arial" w:hAnsi="Arial"/>
          <w:i w:val="false"/>
          <w:iCs w:val="false"/>
          <w:color w:val="auto"/>
          <w:sz w:val="24"/>
          <w:szCs w:val="24"/>
        </w:rPr>
        <w:t>infection.</w:t>
      </w:r>
    </w:p>
    <w:p>
      <w:pPr>
        <w:pStyle w:val="CaptionedFigure"/>
        <w:spacing w:lineRule="auto" w:line="480" w:before="0" w:after="283"/>
        <w:jc w:val="both"/>
        <w:rPr/>
      </w:pPr>
      <w:r>
        <w:rPr/>
        <w:drawing>
          <wp:inline distT="0" distB="0" distL="0" distR="0">
            <wp:extent cx="5334000" cy="3374390"/>
            <wp:effectExtent l="0" t="0" r="0" b="0"/>
            <wp:docPr id="5" name="Image5" descr="No indication of resistance-tolerance coupling for E. ferrisi isolate Brandenbur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No indication of resistance-tolerance coupling for E. ferrisi isolate Brandenburg64."/>
                    <pic:cNvPicPr>
                      <a:picLocks noChangeAspect="1" noChangeArrowheads="1"/>
                    </pic:cNvPicPr>
                  </pic:nvPicPr>
                  <pic:blipFill>
                    <a:blip r:embed="rId9"/>
                    <a:stretch>
                      <a:fillRect/>
                    </a:stretch>
                  </pic:blipFill>
                  <pic:spPr bwMode="auto">
                    <a:xfrm>
                      <a:off x="0" y="0"/>
                      <a:ext cx="5334000" cy="3374390"/>
                    </a:xfrm>
                    <a:prstGeom prst="rect">
                      <a:avLst/>
                    </a:prstGeom>
                  </pic:spPr>
                </pic:pic>
              </a:graphicData>
            </a:graphic>
          </wp:inline>
        </w:drawing>
      </w:r>
    </w:p>
    <w:p>
      <w:pPr>
        <w:pStyle w:val="ImageCaption"/>
        <w:spacing w:lineRule="auto" w:line="480" w:before="0" w:after="283"/>
        <w:jc w:val="both"/>
        <w:rPr/>
      </w:pPr>
      <w:r>
        <w:rPr>
          <w:rFonts w:ascii="Arial" w:hAnsi="Arial"/>
          <w:color w:val="auto"/>
          <w:sz w:val="24"/>
          <w:szCs w:val="24"/>
        </w:rPr>
        <w:t xml:space="preserve">No indication of resistance-tolerance coupling for </w:t>
      </w:r>
      <w:r>
        <w:rPr>
          <w:rFonts w:ascii="Arial" w:hAnsi="Arial"/>
          <w:i/>
          <w:color w:val="auto"/>
          <w:sz w:val="24"/>
          <w:szCs w:val="24"/>
        </w:rPr>
        <w:t>E. ferrisi</w:t>
      </w:r>
      <w:r>
        <w:rPr>
          <w:rFonts w:ascii="Arial" w:hAnsi="Arial"/>
          <w:color w:val="auto"/>
          <w:sz w:val="24"/>
          <w:szCs w:val="24"/>
        </w:rPr>
        <w:t xml:space="preserve"> isolate Brandenburg64.</w:t>
      </w:r>
    </w:p>
    <w:p>
      <w:pPr>
        <w:pStyle w:val="CaptionedFigure"/>
        <w:spacing w:lineRule="auto" w:line="480" w:before="0" w:after="283"/>
        <w:jc w:val="both"/>
        <w:rPr/>
      </w:pPr>
      <w:r>
        <w:rPr/>
        <w:drawing>
          <wp:inline distT="0" distB="0" distL="0" distR="0">
            <wp:extent cx="5334000" cy="3462655"/>
            <wp:effectExtent l="0" t="0" r="0" b="0"/>
            <wp:docPr id="6" name="Image6" descr="Coupling between resistance and tolerance for E. falciformis isolate Brandenburg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Coupling between resistance and tolerance for E. falciformis isolate Brandenburg88."/>
                    <pic:cNvPicPr>
                      <a:picLocks noChangeAspect="1" noChangeArrowheads="1"/>
                    </pic:cNvPicPr>
                  </pic:nvPicPr>
                  <pic:blipFill>
                    <a:blip r:embed="rId10"/>
                    <a:stretch>
                      <a:fillRect/>
                    </a:stretch>
                  </pic:blipFill>
                  <pic:spPr bwMode="auto">
                    <a:xfrm>
                      <a:off x="0" y="0"/>
                      <a:ext cx="5334000" cy="3462655"/>
                    </a:xfrm>
                    <a:prstGeom prst="rect">
                      <a:avLst/>
                    </a:prstGeom>
                  </pic:spPr>
                </pic:pic>
              </a:graphicData>
            </a:graphic>
          </wp:inline>
        </w:drawing>
      </w:r>
    </w:p>
    <w:p>
      <w:pPr>
        <w:pStyle w:val="ImageCaption"/>
        <w:spacing w:lineRule="auto" w:line="480" w:before="0" w:after="283"/>
        <w:jc w:val="both"/>
        <w:rPr/>
      </w:pPr>
      <w:r>
        <w:rPr>
          <w:rFonts w:ascii="Arial" w:hAnsi="Arial"/>
          <w:color w:val="auto"/>
          <w:sz w:val="24"/>
          <w:szCs w:val="24"/>
        </w:rPr>
        <w:t xml:space="preserve">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w:t>
      </w:r>
      <w:r>
        <w:br w:type="page"/>
      </w:r>
    </w:p>
    <w:p>
      <w:pPr>
        <w:pStyle w:val="ImageCaption"/>
        <w:spacing w:lineRule="auto" w:line="480" w:before="0" w:after="283"/>
        <w:jc w:val="both"/>
        <w:rPr>
          <w:b/>
          <w:b/>
          <w:bCs/>
          <w:i w:val="false"/>
          <w:i w:val="false"/>
          <w:iCs w:val="false"/>
        </w:rPr>
      </w:pPr>
      <w:r>
        <w:rPr>
          <w:rFonts w:ascii="Arial" w:hAnsi="Arial"/>
          <w:b/>
          <w:bCs/>
          <w:i w:val="false"/>
          <w:iCs w:val="false"/>
          <w:color w:val="auto"/>
          <w:sz w:val="24"/>
          <w:szCs w:val="24"/>
        </w:rPr>
        <w:t>Appendix</w:t>
      </w:r>
    </w:p>
    <w:p>
      <w:pPr>
        <w:pStyle w:val="ImageCaption"/>
        <w:spacing w:lineRule="auto" w:line="240" w:before="0" w:after="283"/>
        <w:jc w:val="center"/>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04230" cy="209550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5904230" cy="2095500"/>
                    </a:xfrm>
                    <a:prstGeom prst="rect">
                      <a:avLst/>
                    </a:prstGeom>
                  </pic:spPr>
                </pic:pic>
              </a:graphicData>
            </a:graphic>
          </wp:anchor>
        </w:drawing>
      </w:r>
      <w:r>
        <w:rPr>
          <w:rFonts w:ascii="Arial" w:hAnsi="Arial"/>
          <w:b/>
          <w:bCs/>
          <w:i w:val="false"/>
          <w:iCs w:val="false"/>
          <w:color w:val="auto"/>
          <w:sz w:val="24"/>
          <w:szCs w:val="24"/>
        </w:rPr>
        <w:t>A</w:t>
      </w:r>
      <w:r>
        <w:rPr>
          <w:rFonts w:ascii="Arial" w:hAnsi="Arial"/>
          <w:b/>
          <w:bCs/>
          <w:i w:val="false"/>
          <w:iCs w:val="false"/>
          <w:color w:val="auto"/>
          <w:sz w:val="24"/>
          <w:szCs w:val="24"/>
        </w:rPr>
        <w:t xml:space="preserve">ppendix 1. </w:t>
      </w:r>
      <w:r>
        <w:rPr>
          <w:rFonts w:ascii="Arial" w:hAnsi="Arial"/>
          <w:b w:val="false"/>
          <w:bCs w:val="false"/>
          <w:i w:val="false"/>
          <w:iCs w:val="false"/>
          <w:color w:val="auto"/>
          <w:sz w:val="24"/>
          <w:szCs w:val="24"/>
        </w:rPr>
        <w:t>Chronology of experimental infections.</w:t>
      </w:r>
      <w:r>
        <w:br w:type="page"/>
      </w:r>
    </w:p>
    <w:p>
      <w:pPr>
        <w:pStyle w:val="TextBody"/>
        <w:spacing w:lineRule="auto" w:line="480" w:before="0" w:after="0"/>
        <w:jc w:val="both"/>
        <w:rPr/>
      </w:pPr>
      <w:r>
        <w:rPr>
          <w:rFonts w:ascii="Arial" w:hAnsi="Arial"/>
          <w:b/>
          <w:color w:val="auto"/>
          <w:sz w:val="24"/>
          <w:szCs w:val="24"/>
        </w:rPr>
        <w:t>Data Accessibility:</w:t>
      </w:r>
      <w:r>
        <w:rPr>
          <w:rFonts w:ascii="Arial" w:hAnsi="Arial"/>
          <w:color w:val="auto"/>
          <w:sz w:val="24"/>
          <w:szCs w:val="24"/>
        </w:rPr>
        <w:t xml:space="preserve"> -Code and full data: Zenodo doi: 10.5281/zenodo.3911935</w:t>
        <w:br/>
      </w:r>
      <w:r>
        <w:rPr>
          <w:rFonts w:ascii="Arial" w:hAnsi="Arial"/>
          <w:b/>
          <w:color w:val="auto"/>
          <w:sz w:val="24"/>
          <w:szCs w:val="24"/>
        </w:rPr>
        <w:t>Competing Interests Statement:</w:t>
      </w:r>
      <w:r>
        <w:rPr>
          <w:rFonts w:ascii="Arial" w:hAnsi="Arial"/>
          <w:color w:val="auto"/>
          <w:sz w:val="24"/>
          <w:szCs w:val="24"/>
        </w:rPr>
        <w:t xml:space="preserve"> This work is original and has not been published elsewhere, nor is it currently under consideration for publication elsewhere, we have no conflicts of interest to disclose, its submission for publication has been approved by all relevant authors and institutions, all persons entitled to authorship have been so named, all authors have seen and agreed to the submitted version of the manuscript.</w:t>
        <w:br/>
      </w:r>
      <w:r>
        <w:rPr>
          <w:rFonts w:ascii="Arial" w:hAnsi="Arial"/>
          <w:b/>
          <w:color w:val="auto"/>
          <w:sz w:val="24"/>
          <w:szCs w:val="24"/>
        </w:rPr>
        <w:t>Authors Contributions:</w:t>
      </w:r>
      <w:r>
        <w:rPr>
          <w:rFonts w:ascii="Arial" w:hAnsi="Arial"/>
          <w:color w:val="auto"/>
          <w:sz w:val="24"/>
          <w:szCs w:val="24"/>
        </w:rPr>
        <w:t xml:space="preserve"> AB, JP and EH designed the experiment and analysis. LD and JP provided the research material. AB, VHJD, JJ, VM and FB carried out the experiment. AB performed the analysis. AB and EH wrote the manuscript, with major contribution from JP and feedback from all the authors.</w:t>
        <w:br/>
      </w:r>
      <w:r>
        <w:rPr>
          <w:rFonts w:ascii="Arial" w:hAnsi="Arial"/>
          <w:b/>
          <w:color w:val="auto"/>
          <w:sz w:val="24"/>
          <w:szCs w:val="24"/>
        </w:rPr>
        <w:t>Acknowledgements:</w:t>
      </w:r>
      <w:r>
        <w:rPr>
          <w:rFonts w:ascii="Arial" w:hAnsi="Arial"/>
          <w:color w:val="auto"/>
          <w:sz w:val="24"/>
          <w:szCs w:val="24"/>
        </w:rPr>
        <w:t xml:space="preserve"> 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TextBody"/>
        <w:spacing w:lineRule="auto" w:line="480" w:before="0" w:after="0"/>
        <w:jc w:val="both"/>
        <w:rPr/>
      </w:pPr>
      <w:r>
        <w:rPr>
          <w:rFonts w:ascii="Arial" w:hAnsi="Arial"/>
          <w:b/>
          <w:bCs/>
          <w:color w:val="auto"/>
          <w:sz w:val="24"/>
          <w:szCs w:val="24"/>
        </w:rPr>
        <w:t>References</w:t>
      </w:r>
    </w:p>
    <w:p>
      <w:pPr>
        <w:pStyle w:val="TextBody"/>
        <w:spacing w:lineRule="auto" w:line="360" w:before="0" w:after="283"/>
        <w:ind w:left="567" w:right="0" w:hanging="567"/>
        <w:jc w:val="both"/>
        <w:rPr/>
      </w:pPr>
      <w:r>
        <w:rPr>
          <w:rFonts w:eastAsia="Arial" w:cs="Arial" w:ascii="Arial" w:hAnsi="Arial"/>
          <w:sz w:val="24"/>
          <w:szCs w:val="24"/>
        </w:rPr>
        <w:t xml:space="preserve">Al-khlifeh, E., Balard, A., Jarquín-Díaz, V. H., Weyrich, A., Wibbelt, G. &amp; Heitlinger, E. (2019). </w:t>
      </w:r>
      <w:r>
        <w:rPr>
          <w:rFonts w:eastAsia="Arial" w:cs="Arial" w:ascii="Arial" w:hAnsi="Arial"/>
          <w:i/>
          <w:sz w:val="24"/>
          <w:szCs w:val="24"/>
        </w:rPr>
        <w:t xml:space="preserve">Eimeria falciformis </w:t>
      </w:r>
      <w:r>
        <w:rPr>
          <w:rFonts w:eastAsia="Arial" w:cs="Arial" w:ascii="Arial" w:hAnsi="Arial"/>
          <w:sz w:val="24"/>
          <w:szCs w:val="24"/>
        </w:rPr>
        <w:t xml:space="preserve">BayerHaberkorn1970 and novel wild derived isolates from house mice: Differences in parasite lifecycle, pathogenicity and host immune reactions. </w:t>
      </w:r>
      <w:r>
        <w:rPr>
          <w:rFonts w:eastAsia="Arial" w:cs="Arial" w:ascii="Arial" w:hAnsi="Arial"/>
          <w:i/>
          <w:sz w:val="24"/>
          <w:szCs w:val="24"/>
        </w:rPr>
        <w:t>bioRxiv</w:t>
      </w:r>
      <w:r>
        <w:rPr>
          <w:rFonts w:eastAsia="Arial" w:cs="Arial" w:ascii="Arial" w:hAnsi="Arial"/>
          <w:sz w:val="24"/>
          <w:szCs w:val="24"/>
        </w:rPr>
        <w:t>, 611277. doi:</w:t>
      </w:r>
      <w:hyperlink r:id="rId12">
        <w:r>
          <w:rPr>
            <w:rStyle w:val="InternetLink"/>
            <w:rFonts w:eastAsia="Arial" w:cs="Arial" w:ascii="Arial" w:hAnsi="Arial"/>
            <w:color w:val="0E35B3"/>
            <w:sz w:val="24"/>
            <w:szCs w:val="24"/>
          </w:rPr>
          <w:t>10.1101/611277</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Ankrom, S. L., Chobotar, B. &amp; Ernst, J. V. (1975). Life cycle of </w:t>
      </w:r>
      <w:r>
        <w:rPr>
          <w:rFonts w:eastAsia="Arial" w:cs="Arial" w:ascii="Arial" w:hAnsi="Arial"/>
          <w:i/>
          <w:sz w:val="24"/>
          <w:szCs w:val="24"/>
        </w:rPr>
        <w:t>Eimeria ferrisi</w:t>
      </w:r>
      <w:r>
        <w:rPr>
          <w:rFonts w:eastAsia="Arial" w:cs="Arial" w:ascii="Arial" w:hAnsi="Arial"/>
          <w:sz w:val="24"/>
          <w:szCs w:val="24"/>
        </w:rPr>
        <w:t xml:space="preserve"> Levine &amp; Ivens, 1965 in the mouse, </w:t>
      </w:r>
      <w:r>
        <w:rPr>
          <w:rFonts w:eastAsia="Arial" w:cs="Arial" w:ascii="Arial" w:hAnsi="Arial"/>
          <w:i/>
          <w:sz w:val="24"/>
          <w:szCs w:val="24"/>
        </w:rPr>
        <w:t>Mus musculus</w:t>
      </w:r>
      <w:r>
        <w:rPr>
          <w:rFonts w:eastAsia="Arial" w:cs="Arial" w:ascii="Arial" w:hAnsi="Arial"/>
          <w:sz w:val="24"/>
          <w:szCs w:val="24"/>
        </w:rPr>
        <w:t xml:space="preserve">. </w:t>
      </w:r>
      <w:r>
        <w:rPr>
          <w:rFonts w:eastAsia="Arial" w:cs="Arial" w:ascii="Arial" w:hAnsi="Arial"/>
          <w:i/>
          <w:sz w:val="24"/>
          <w:szCs w:val="24"/>
        </w:rPr>
        <w:t>The Journal of Protozoology</w:t>
      </w:r>
      <w:r>
        <w:rPr>
          <w:rFonts w:eastAsia="Arial" w:cs="Arial" w:ascii="Arial" w:hAnsi="Arial"/>
          <w:sz w:val="24"/>
          <w:szCs w:val="24"/>
        </w:rPr>
        <w:t xml:space="preserve">, </w:t>
      </w:r>
      <w:r>
        <w:rPr>
          <w:rFonts w:eastAsia="Arial" w:cs="Arial" w:ascii="Arial" w:hAnsi="Arial"/>
          <w:i/>
          <w:sz w:val="24"/>
          <w:szCs w:val="24"/>
        </w:rPr>
        <w:t>22</w:t>
      </w:r>
      <w:r>
        <w:rPr>
          <w:rFonts w:eastAsia="Arial" w:cs="Arial" w:ascii="Arial" w:hAnsi="Arial"/>
          <w:sz w:val="24"/>
          <w:szCs w:val="24"/>
        </w:rPr>
        <w:t>, 317–323. doi:</w:t>
      </w:r>
      <w:r>
        <w:rPr>
          <w:rFonts w:eastAsia="Arial" w:cs="Arial" w:ascii="Arial" w:hAnsi="Arial"/>
          <w:color w:val="0E35B3"/>
          <w:sz w:val="24"/>
          <w:szCs w:val="24"/>
        </w:rPr>
        <w:t>10.1111 / j .1550-</w:t>
      </w:r>
      <w:r>
        <w:rPr>
          <w:rFonts w:eastAsia="Arial" w:cs="Arial" w:ascii="Arial" w:hAnsi="Arial"/>
          <w:color w:val="0E35B3"/>
          <w:sz w:val="24"/>
          <w:szCs w:val="24"/>
        </w:rPr>
        <w:t>7</w:t>
      </w:r>
      <w:hyperlink r:id="rId13">
        <w:r>
          <w:rPr>
            <w:rStyle w:val="InternetLink"/>
            <w:rFonts w:eastAsia="Arial" w:cs="Arial" w:ascii="Arial" w:hAnsi="Arial"/>
            <w:color w:val="0E35B3"/>
            <w:sz w:val="24"/>
            <w:szCs w:val="24"/>
          </w:rPr>
          <w:t>408.1975.tb05177.x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Ayres, J. S. &amp; Schneider, D. S. (2012). Tolerance of infections. </w:t>
      </w:r>
      <w:r>
        <w:rPr>
          <w:rFonts w:eastAsia="Arial" w:cs="Arial" w:ascii="Arial" w:hAnsi="Arial"/>
          <w:i/>
          <w:sz w:val="24"/>
          <w:szCs w:val="24"/>
        </w:rPr>
        <w:t>Annual Review of Immunology</w:t>
      </w:r>
      <w:r>
        <w:rPr>
          <w:rFonts w:eastAsia="Arial" w:cs="Arial" w:ascii="Arial" w:hAnsi="Arial"/>
          <w:sz w:val="24"/>
          <w:szCs w:val="24"/>
        </w:rPr>
        <w:t xml:space="preserve">, </w:t>
      </w:r>
      <w:r>
        <w:rPr>
          <w:rFonts w:eastAsia="Arial" w:cs="Arial" w:ascii="Arial" w:hAnsi="Arial"/>
          <w:i/>
          <w:sz w:val="24"/>
          <w:szCs w:val="24"/>
        </w:rPr>
        <w:t>30</w:t>
      </w:r>
      <w:r>
        <w:rPr>
          <w:rFonts w:eastAsia="Arial" w:cs="Arial" w:ascii="Arial" w:hAnsi="Arial"/>
          <w:sz w:val="24"/>
          <w:szCs w:val="24"/>
        </w:rPr>
        <w:t>, 271–294. doi:</w:t>
      </w:r>
      <w:hyperlink r:id="rId14">
        <w:r>
          <w:rPr>
            <w:rStyle w:val="InternetLink"/>
            <w:rFonts w:eastAsia="Arial" w:cs="Arial" w:ascii="Arial" w:hAnsi="Arial"/>
            <w:color w:val="0E35B3"/>
            <w:sz w:val="24"/>
            <w:szCs w:val="24"/>
          </w:rPr>
          <w:t>10.1146/annurev-immunol-020711-075030</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Baird, S. J. E. &amp; Goüy de Bellocq, J. (2019). Shifting paradigms for studying parasitism in hybridising hosts: Response to Theodosopoulos, Hund, and Taylor. </w:t>
      </w:r>
      <w:r>
        <w:rPr>
          <w:rFonts w:eastAsia="Arial" w:cs="Arial" w:ascii="Arial" w:hAnsi="Arial"/>
          <w:i/>
          <w:sz w:val="24"/>
          <w:szCs w:val="24"/>
        </w:rPr>
        <w:t>Trends in ecology &amp; evolution</w:t>
      </w:r>
      <w:r>
        <w:rPr>
          <w:rFonts w:eastAsia="Arial" w:cs="Arial" w:ascii="Arial" w:hAnsi="Arial"/>
          <w:sz w:val="24"/>
          <w:szCs w:val="24"/>
        </w:rPr>
        <w:t xml:space="preserve">, </w:t>
      </w:r>
      <w:r>
        <w:rPr>
          <w:rFonts w:eastAsia="Arial" w:cs="Arial" w:ascii="Arial" w:hAnsi="Arial"/>
          <w:i/>
          <w:sz w:val="24"/>
          <w:szCs w:val="24"/>
        </w:rPr>
        <w:t>34</w:t>
      </w:r>
      <w:r>
        <w:rPr>
          <w:rFonts w:eastAsia="Arial" w:cs="Arial" w:ascii="Arial" w:hAnsi="Arial"/>
          <w:sz w:val="24"/>
          <w:szCs w:val="24"/>
        </w:rPr>
        <w:t>, 387–389. doi:</w:t>
      </w:r>
      <w:hyperlink r:id="rId15">
        <w:r>
          <w:rPr>
            <w:rStyle w:val="InternetLink"/>
            <w:rFonts w:eastAsia="Arial" w:cs="Arial" w:ascii="Arial" w:hAnsi="Arial"/>
            <w:color w:val="0E35B3"/>
            <w:sz w:val="24"/>
            <w:szCs w:val="24"/>
          </w:rPr>
          <w:t>doi.org/10.1016/j.tree.2019.01.011</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Baird, S. J. E., Ribas, A., Macholán, M., Albrecht, T., Piálek, J. &amp; Goüy de Bellocq, J. (2012). Where are the wormy mice? A reexamination of hybrid parasitism in the European house mouse hybrid zone. </w:t>
      </w:r>
      <w:r>
        <w:rPr>
          <w:rFonts w:eastAsia="Arial" w:cs="Arial" w:ascii="Arial" w:hAnsi="Arial"/>
          <w:i/>
          <w:sz w:val="24"/>
          <w:szCs w:val="24"/>
        </w:rPr>
        <w:t>Evolution</w:t>
      </w:r>
      <w:r>
        <w:rPr>
          <w:rFonts w:eastAsia="Arial" w:cs="Arial" w:ascii="Arial" w:hAnsi="Arial"/>
          <w:sz w:val="24"/>
          <w:szCs w:val="24"/>
        </w:rPr>
        <w:t xml:space="preserve">, </w:t>
      </w:r>
      <w:r>
        <w:rPr>
          <w:rFonts w:eastAsia="Arial" w:cs="Arial" w:ascii="Arial" w:hAnsi="Arial"/>
          <w:i/>
          <w:sz w:val="24"/>
          <w:szCs w:val="24"/>
        </w:rPr>
        <w:t>66</w:t>
      </w:r>
      <w:r>
        <w:rPr>
          <w:rFonts w:eastAsia="Arial" w:cs="Arial" w:ascii="Arial" w:hAnsi="Arial"/>
          <w:sz w:val="24"/>
          <w:szCs w:val="24"/>
        </w:rPr>
        <w:t>, 2757–2772. doi:</w:t>
      </w:r>
      <w:hyperlink r:id="rId16">
        <w:r>
          <w:rPr>
            <w:rStyle w:val="InternetLink"/>
            <w:rFonts w:eastAsia="Arial" w:cs="Arial" w:ascii="Arial" w:hAnsi="Arial"/>
            <w:color w:val="0E35B3"/>
            <w:sz w:val="24"/>
            <w:szCs w:val="24"/>
          </w:rPr>
          <w:t>10.1111/j.1558-5646.2012.01633.x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Balard, A., Jarquı́n-Dı́az, V. H., Jost, J., Martincová, I., Ďureje, Ľ., Piálek, J., Macholán, M., de Bellocq, J. G., Baird, S. J. E. &amp; Heitlinger, E. (2020). Intensity of infection with intracellular </w:t>
      </w:r>
      <w:r>
        <w:rPr>
          <w:rFonts w:eastAsia="Arial" w:cs="Arial" w:ascii="Arial" w:hAnsi="Arial"/>
          <w:i/>
          <w:sz w:val="24"/>
          <w:szCs w:val="24"/>
        </w:rPr>
        <w:t>Eimeria</w:t>
      </w:r>
      <w:r>
        <w:rPr>
          <w:rFonts w:eastAsia="Arial" w:cs="Arial" w:ascii="Arial" w:hAnsi="Arial"/>
          <w:sz w:val="24"/>
          <w:szCs w:val="24"/>
        </w:rPr>
        <w:t xml:space="preserve"> spp. and pinworms is reduced in hybrid mice compared to parental subspecies. </w:t>
      </w:r>
      <w:r>
        <w:rPr>
          <w:rFonts w:eastAsia="Arial" w:cs="Arial" w:ascii="Arial" w:hAnsi="Arial"/>
          <w:i/>
          <w:sz w:val="24"/>
          <w:szCs w:val="24"/>
        </w:rPr>
        <w:t>Journal of Evolutionary Biology</w:t>
      </w:r>
      <w:r>
        <w:rPr>
          <w:rFonts w:eastAsia="Arial" w:cs="Arial" w:ascii="Arial" w:hAnsi="Arial"/>
          <w:sz w:val="24"/>
          <w:szCs w:val="24"/>
        </w:rPr>
        <w:t>,</w:t>
      </w:r>
      <w:r>
        <w:rPr>
          <w:rFonts w:eastAsia="Arial" w:cs="Arial" w:ascii="Arial" w:hAnsi="Arial"/>
          <w:i/>
          <w:sz w:val="24"/>
          <w:szCs w:val="24"/>
        </w:rPr>
        <w:t xml:space="preserve"> 33</w:t>
      </w:r>
      <w:r>
        <w:rPr>
          <w:rFonts w:eastAsia="Arial" w:cs="Arial" w:ascii="Arial" w:hAnsi="Arial"/>
          <w:sz w:val="24"/>
          <w:szCs w:val="24"/>
        </w:rPr>
        <w:t>, 435–448. doi:</w:t>
      </w:r>
      <w:hyperlink r:id="rId17">
        <w:r>
          <w:rPr>
            <w:rStyle w:val="InternetLink"/>
            <w:rFonts w:eastAsia="Arial" w:cs="Arial" w:ascii="Arial" w:hAnsi="Arial"/>
            <w:color w:val="0E35B3"/>
            <w:sz w:val="24"/>
            <w:szCs w:val="24"/>
          </w:rPr>
          <w:t>10.1111/jeb.13578</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Baucom, R. S. &amp; de Roode, J. C. (2011). Ecological immunology and tolerance in plants and animals. </w:t>
      </w:r>
      <w:r>
        <w:rPr>
          <w:rFonts w:eastAsia="Arial" w:cs="Arial" w:ascii="Arial" w:hAnsi="Arial"/>
          <w:i/>
          <w:sz w:val="24"/>
          <w:szCs w:val="24"/>
        </w:rPr>
        <w:t>Functional Ecology</w:t>
      </w:r>
      <w:r>
        <w:rPr>
          <w:rFonts w:eastAsia="Arial" w:cs="Arial" w:ascii="Arial" w:hAnsi="Arial"/>
          <w:sz w:val="24"/>
          <w:szCs w:val="24"/>
        </w:rPr>
        <w:t>,</w:t>
      </w:r>
      <w:r>
        <w:rPr>
          <w:rFonts w:eastAsia="Arial" w:cs="Arial" w:ascii="Arial" w:hAnsi="Arial"/>
          <w:i/>
          <w:sz w:val="24"/>
          <w:szCs w:val="24"/>
        </w:rPr>
        <w:t xml:space="preserve"> 25</w:t>
      </w:r>
      <w:r>
        <w:rPr>
          <w:rFonts w:eastAsia="Arial" w:cs="Arial" w:ascii="Arial" w:hAnsi="Arial"/>
          <w:sz w:val="24"/>
          <w:szCs w:val="24"/>
        </w:rPr>
        <w:t>, 18–28. doi:</w:t>
      </w:r>
      <w:hyperlink r:id="rId18">
        <w:r>
          <w:rPr>
            <w:rStyle w:val="InternetLink"/>
            <w:rFonts w:eastAsia="Arial" w:cs="Arial" w:ascii="Arial" w:hAnsi="Arial"/>
            <w:color w:val="0E35B3"/>
            <w:sz w:val="24"/>
            <w:szCs w:val="24"/>
          </w:rPr>
          <w:t>10.1111/j.1365-2435.2010.01742.x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Boots, M., Best, A., Miller, M. R. &amp; White, A. (2008). The role of ecological feedbacks in the evolution of host defence: What does theory tell us? </w:t>
      </w:r>
      <w:r>
        <w:rPr>
          <w:rFonts w:eastAsia="Arial" w:cs="Arial" w:ascii="Arial" w:hAnsi="Arial"/>
          <w:i/>
          <w:sz w:val="24"/>
          <w:szCs w:val="24"/>
        </w:rPr>
        <w:t>Philosophical Transactions of the Royal Society B: Biological Sciences</w:t>
      </w:r>
      <w:r>
        <w:rPr>
          <w:rFonts w:eastAsia="Arial" w:cs="Arial" w:ascii="Arial" w:hAnsi="Arial"/>
          <w:sz w:val="24"/>
          <w:szCs w:val="24"/>
        </w:rPr>
        <w:t>,</w:t>
      </w:r>
      <w:r>
        <w:rPr>
          <w:rFonts w:eastAsia="Arial" w:cs="Arial" w:ascii="Arial" w:hAnsi="Arial"/>
          <w:i/>
          <w:sz w:val="24"/>
          <w:szCs w:val="24"/>
        </w:rPr>
        <w:t xml:space="preserve"> 364</w:t>
      </w:r>
      <w:r>
        <w:rPr>
          <w:rFonts w:eastAsia="Arial" w:cs="Arial" w:ascii="Arial" w:hAnsi="Arial"/>
          <w:sz w:val="24"/>
          <w:szCs w:val="24"/>
        </w:rPr>
        <w:t>, 27–36. doi:</w:t>
      </w:r>
      <w:hyperlink r:id="rId19">
        <w:r>
          <w:rPr>
            <w:rStyle w:val="InternetLink"/>
            <w:rFonts w:eastAsia="Arial" w:cs="Arial" w:ascii="Arial" w:hAnsi="Arial"/>
            <w:color w:val="0E35B3"/>
            <w:sz w:val="24"/>
            <w:szCs w:val="24"/>
          </w:rPr>
          <w:t>10.1098/rstb.2008.0160</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Brett, M. T. (2004). When is a correlation between non-independent variables “spurious”? </w:t>
      </w:r>
      <w:r>
        <w:rPr>
          <w:rFonts w:eastAsia="Arial" w:cs="Arial" w:ascii="Arial" w:hAnsi="Arial"/>
          <w:i/>
          <w:sz w:val="24"/>
          <w:szCs w:val="24"/>
        </w:rPr>
        <w:t>Oikos</w:t>
      </w:r>
      <w:r>
        <w:rPr>
          <w:rFonts w:eastAsia="Arial" w:cs="Arial" w:ascii="Arial" w:hAnsi="Arial"/>
          <w:sz w:val="24"/>
          <w:szCs w:val="24"/>
        </w:rPr>
        <w:t xml:space="preserve">, </w:t>
      </w:r>
      <w:r>
        <w:rPr>
          <w:rFonts w:eastAsia="Arial" w:cs="Arial" w:ascii="Arial" w:hAnsi="Arial"/>
          <w:i/>
          <w:sz w:val="24"/>
          <w:szCs w:val="24"/>
        </w:rPr>
        <w:t>105</w:t>
      </w:r>
      <w:r>
        <w:rPr>
          <w:rFonts w:eastAsia="Arial" w:cs="Arial" w:ascii="Arial" w:hAnsi="Arial"/>
          <w:sz w:val="24"/>
          <w:szCs w:val="24"/>
        </w:rPr>
        <w:t>, 647–656. doi:</w:t>
      </w:r>
      <w:hyperlink r:id="rId20">
        <w:r>
          <w:rPr>
            <w:rStyle w:val="InternetLink"/>
            <w:rFonts w:eastAsia="Arial" w:cs="Arial" w:ascii="Arial" w:hAnsi="Arial"/>
            <w:color w:val="0E35B3"/>
            <w:sz w:val="24"/>
            <w:szCs w:val="24"/>
          </w:rPr>
          <w:t>10.1111/j.0030-1299.2004.12777.x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Carval, D. &amp; Ferriere, R. (2010). A unified model for the coevolution of resistance, tolerance, and virulence. </w:t>
      </w:r>
      <w:r>
        <w:rPr>
          <w:rFonts w:eastAsia="Arial" w:cs="Arial" w:ascii="Arial" w:hAnsi="Arial"/>
          <w:i/>
          <w:sz w:val="24"/>
          <w:szCs w:val="24"/>
        </w:rPr>
        <w:t>Evolution</w:t>
      </w:r>
      <w:r>
        <w:rPr>
          <w:rFonts w:eastAsia="Arial" w:cs="Arial" w:ascii="Arial" w:hAnsi="Arial"/>
          <w:sz w:val="24"/>
          <w:szCs w:val="24"/>
        </w:rPr>
        <w:t xml:space="preserve">, </w:t>
      </w:r>
      <w:r>
        <w:rPr>
          <w:rFonts w:eastAsia="Arial" w:cs="Arial" w:ascii="Arial" w:hAnsi="Arial"/>
          <w:i/>
          <w:sz w:val="24"/>
          <w:szCs w:val="24"/>
        </w:rPr>
        <w:t>64</w:t>
      </w:r>
      <w:r>
        <w:rPr>
          <w:rFonts w:eastAsia="Arial" w:cs="Arial" w:ascii="Arial" w:hAnsi="Arial"/>
          <w:sz w:val="24"/>
          <w:szCs w:val="24"/>
        </w:rPr>
        <w:t>, 2988–3009. doi:</w:t>
      </w:r>
      <w:hyperlink r:id="rId21">
        <w:r>
          <w:rPr>
            <w:rStyle w:val="InternetLink"/>
            <w:rFonts w:eastAsia="Arial" w:cs="Arial" w:ascii="Arial" w:hAnsi="Arial"/>
            <w:color w:val="0E35B3"/>
            <w:sz w:val="24"/>
            <w:szCs w:val="24"/>
          </w:rPr>
          <w:t>10.1111/j.1558-5646.2010.01035.x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Chapman, H. D., Barta, J. R., Blake, D., Gruber, A., Jenkins, M., Smith, N. C., Suo, X. &amp; Tomley, F. M.(2013). Chapter two - a selective review of advances in coccidiosis research. </w:t>
      </w:r>
      <w:r>
        <w:rPr>
          <w:rFonts w:eastAsia="Arial" w:cs="Arial" w:ascii="Arial" w:hAnsi="Arial"/>
          <w:i/>
          <w:sz w:val="24"/>
          <w:szCs w:val="24"/>
        </w:rPr>
        <w:t>83</w:t>
      </w:r>
      <w:r>
        <w:rPr>
          <w:rFonts w:eastAsia="Arial" w:cs="Arial" w:ascii="Arial" w:hAnsi="Arial"/>
          <w:sz w:val="24"/>
          <w:szCs w:val="24"/>
        </w:rPr>
        <w:t>, 93–171. doi:</w:t>
      </w:r>
      <w:hyperlink r:id="rId22">
        <w:r>
          <w:rPr>
            <w:rStyle w:val="InternetLink"/>
            <w:rFonts w:eastAsia="Arial" w:cs="Arial" w:ascii="Arial" w:hAnsi="Arial"/>
            <w:color w:val="0E35B3"/>
            <w:sz w:val="24"/>
            <w:szCs w:val="24"/>
          </w:rPr>
          <w:t>10.</w:t>
        </w:r>
      </w:hyperlink>
      <w:r>
        <w:rPr>
          <w:rFonts w:eastAsia="Arial" w:cs="Arial" w:ascii="Arial" w:hAnsi="Arial"/>
          <w:color w:val="0E35B3"/>
          <w:sz w:val="24"/>
          <w:szCs w:val="24"/>
        </w:rPr>
        <w:t>1016/B978-0-12-407705-8.00002-1</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Clerc, M., Fenton, A., Babayan, S. A. &amp; Pedersen, A. B. (2019). Parasitic nematodes simultaneously suppress and benefit from coccidian coinfection in their natural mouse host. </w:t>
      </w:r>
      <w:r>
        <w:rPr>
          <w:rFonts w:eastAsia="Arial" w:cs="Arial" w:ascii="Arial" w:hAnsi="Arial"/>
          <w:i/>
          <w:sz w:val="24"/>
          <w:szCs w:val="24"/>
        </w:rPr>
        <w:t>Parasitology</w:t>
      </w:r>
      <w:r>
        <w:rPr>
          <w:rFonts w:eastAsia="Arial" w:cs="Arial" w:ascii="Arial" w:hAnsi="Arial"/>
          <w:sz w:val="24"/>
          <w:szCs w:val="24"/>
        </w:rPr>
        <w:t xml:space="preserve">, </w:t>
      </w:r>
      <w:r>
        <w:rPr>
          <w:rFonts w:eastAsia="Arial" w:cs="Arial" w:ascii="Arial" w:hAnsi="Arial"/>
          <w:i/>
          <w:sz w:val="24"/>
          <w:szCs w:val="24"/>
        </w:rPr>
        <w:t>146</w:t>
      </w:r>
      <w:r>
        <w:rPr>
          <w:rFonts w:eastAsia="Arial" w:cs="Arial" w:ascii="Arial" w:hAnsi="Arial"/>
          <w:sz w:val="24"/>
          <w:szCs w:val="24"/>
        </w:rPr>
        <w:t>, 1096–1106. doi:</w:t>
      </w:r>
      <w:hyperlink r:id="rId23">
        <w:r>
          <w:rPr>
            <w:rStyle w:val="InternetLink"/>
            <w:rFonts w:eastAsia="Arial" w:cs="Arial" w:ascii="Arial" w:hAnsi="Arial"/>
            <w:color w:val="0E35B3"/>
            <w:sz w:val="24"/>
            <w:szCs w:val="24"/>
          </w:rPr>
          <w:t>10.1017/S0031182019000192</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Delignette-Muller, M. L. &amp; Dutang, C. (2015). Fitdistrplus: An r package for fitting distributions. </w:t>
      </w:r>
      <w:r>
        <w:rPr>
          <w:rFonts w:eastAsia="Arial" w:cs="Arial" w:ascii="Arial" w:hAnsi="Arial"/>
          <w:i/>
          <w:sz w:val="24"/>
          <w:szCs w:val="24"/>
        </w:rPr>
        <w:t>Journal of Statistical Software</w:t>
      </w:r>
      <w:r>
        <w:rPr>
          <w:rFonts w:eastAsia="Arial" w:cs="Arial" w:ascii="Arial" w:hAnsi="Arial"/>
          <w:sz w:val="24"/>
          <w:szCs w:val="24"/>
        </w:rPr>
        <w:t>,</w:t>
      </w:r>
      <w:r>
        <w:rPr>
          <w:rFonts w:eastAsia="Arial" w:cs="Arial" w:ascii="Arial" w:hAnsi="Arial"/>
          <w:i/>
          <w:sz w:val="24"/>
          <w:szCs w:val="24"/>
        </w:rPr>
        <w:t xml:space="preserve"> 64</w:t>
      </w:r>
      <w:r>
        <w:rPr>
          <w:rFonts w:eastAsia="Arial" w:cs="Arial" w:ascii="Arial" w:hAnsi="Arial"/>
          <w:sz w:val="24"/>
          <w:szCs w:val="24"/>
        </w:rPr>
        <w:t>, 1–34. doi:</w:t>
      </w:r>
      <w:hyperlink r:id="rId24">
        <w:r>
          <w:rPr>
            <w:rStyle w:val="InternetLink"/>
            <w:rFonts w:eastAsia="Arial" w:cs="Arial" w:ascii="Arial" w:hAnsi="Arial"/>
            <w:color w:val="0E35B3"/>
            <w:sz w:val="24"/>
            <w:szCs w:val="24"/>
          </w:rPr>
          <w:t>10.18637/jss.v064.i04</w:t>
        </w:r>
      </w:hyperlink>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Ďureje, Ľ., Macholán, M., Baird, S. J. E. &amp; Piálek, J. (2012). The mouse hybrid zone in central </w:t>
      </w:r>
      <w:r>
        <w:rPr>
          <w:rFonts w:eastAsia="Arial" w:cs="Arial" w:ascii="Arial" w:hAnsi="Arial"/>
          <w:sz w:val="24"/>
          <w:szCs w:val="24"/>
        </w:rPr>
        <w:t>E</w:t>
      </w:r>
      <w:r>
        <w:rPr>
          <w:rFonts w:eastAsia="Arial" w:cs="Arial" w:ascii="Arial" w:hAnsi="Arial"/>
          <w:sz w:val="24"/>
          <w:szCs w:val="24"/>
        </w:rPr>
        <w:t xml:space="preserve">urope: From morphology to molecules. </w:t>
      </w:r>
      <w:r>
        <w:rPr>
          <w:rFonts w:eastAsia="Arial" w:cs="Arial" w:ascii="Arial" w:hAnsi="Arial"/>
          <w:i/>
          <w:sz w:val="24"/>
          <w:szCs w:val="24"/>
        </w:rPr>
        <w:t>Journal of Vertebrate Biology</w:t>
      </w:r>
      <w:r>
        <w:rPr>
          <w:rFonts w:eastAsia="Arial" w:cs="Arial" w:ascii="Arial" w:hAnsi="Arial"/>
          <w:sz w:val="24"/>
          <w:szCs w:val="24"/>
        </w:rPr>
        <w:t xml:space="preserve">, </w:t>
      </w:r>
      <w:r>
        <w:rPr>
          <w:rFonts w:eastAsia="Arial" w:cs="Arial" w:ascii="Arial" w:hAnsi="Arial"/>
          <w:i/>
          <w:sz w:val="24"/>
          <w:szCs w:val="24"/>
        </w:rPr>
        <w:t>61</w:t>
      </w:r>
      <w:r>
        <w:rPr>
          <w:rFonts w:eastAsia="Arial" w:cs="Arial" w:ascii="Arial" w:hAnsi="Arial"/>
          <w:sz w:val="24"/>
          <w:szCs w:val="24"/>
        </w:rPr>
        <w:t>, 308–318. doi:</w:t>
      </w:r>
      <w:r>
        <w:rPr>
          <w:rFonts w:eastAsia="Arial" w:cs="Arial" w:ascii="Arial" w:hAnsi="Arial"/>
          <w:color w:val="0E35B3"/>
          <w:sz w:val="24"/>
          <w:szCs w:val="24"/>
        </w:rPr>
        <w:t>10.25225/fozo.v61.i3.a13.2012</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Ehret, T., Spork, S., Dieterich, C., Lucius, R. &amp; Heitlinger, E. (2017). Dual RNA-seq reveals no plastic transcriptional response of the coccidian parasite </w:t>
      </w:r>
      <w:r>
        <w:rPr>
          <w:rFonts w:eastAsia="Arial" w:cs="Arial" w:ascii="Arial" w:hAnsi="Arial"/>
          <w:i/>
          <w:sz w:val="24"/>
          <w:szCs w:val="24"/>
        </w:rPr>
        <w:t>Eimeria falciformis</w:t>
      </w:r>
      <w:r>
        <w:rPr>
          <w:rFonts w:eastAsia="Arial" w:cs="Arial" w:ascii="Arial" w:hAnsi="Arial"/>
          <w:sz w:val="24"/>
          <w:szCs w:val="24"/>
        </w:rPr>
        <w:t xml:space="preserve"> to host immune defenses. </w:t>
      </w:r>
      <w:r>
        <w:rPr>
          <w:rFonts w:eastAsia="Arial" w:cs="Arial" w:ascii="Arial" w:hAnsi="Arial"/>
          <w:i/>
          <w:sz w:val="24"/>
          <w:szCs w:val="24"/>
        </w:rPr>
        <w:t>BMC Genomics</w:t>
      </w:r>
      <w:r>
        <w:rPr>
          <w:rFonts w:eastAsia="Arial" w:cs="Arial" w:ascii="Arial" w:hAnsi="Arial"/>
          <w:sz w:val="24"/>
          <w:szCs w:val="24"/>
        </w:rPr>
        <w:t>,</w:t>
      </w:r>
      <w:r>
        <w:rPr>
          <w:rFonts w:eastAsia="Arial" w:cs="Arial" w:ascii="Arial" w:hAnsi="Arial"/>
          <w:i/>
          <w:sz w:val="24"/>
          <w:szCs w:val="24"/>
        </w:rPr>
        <w:t xml:space="preserve"> 18</w:t>
      </w:r>
      <w:r>
        <w:rPr>
          <w:rFonts w:eastAsia="Arial" w:cs="Arial" w:ascii="Arial" w:hAnsi="Arial"/>
          <w:sz w:val="24"/>
          <w:szCs w:val="24"/>
        </w:rPr>
        <w:t>, 686. doi:</w:t>
      </w:r>
      <w:hyperlink r:id="rId25">
        <w:r>
          <w:rPr>
            <w:rStyle w:val="InternetLink"/>
            <w:rFonts w:eastAsia="Arial" w:cs="Arial" w:ascii="Arial" w:hAnsi="Arial"/>
            <w:color w:val="0E35B3"/>
            <w:sz w:val="24"/>
            <w:szCs w:val="24"/>
          </w:rPr>
          <w:t>10.1186/s12864-017-4095-6</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Fineblum, W. L. &amp; Rausher, M. D. (1995). Tradeoff between resistance and tolerance to herbivore damage in a morning glory. </w:t>
      </w:r>
      <w:r>
        <w:rPr>
          <w:rFonts w:eastAsia="Arial" w:cs="Arial" w:ascii="Arial" w:hAnsi="Arial"/>
          <w:i/>
          <w:sz w:val="24"/>
          <w:szCs w:val="24"/>
        </w:rPr>
        <w:t>Nature</w:t>
      </w:r>
      <w:r>
        <w:rPr>
          <w:rFonts w:eastAsia="Arial" w:cs="Arial" w:ascii="Arial" w:hAnsi="Arial"/>
          <w:sz w:val="24"/>
          <w:szCs w:val="24"/>
        </w:rPr>
        <w:t xml:space="preserve">, </w:t>
      </w:r>
      <w:r>
        <w:rPr>
          <w:rFonts w:eastAsia="Arial" w:cs="Arial" w:ascii="Arial" w:hAnsi="Arial"/>
          <w:i/>
          <w:sz w:val="24"/>
          <w:szCs w:val="24"/>
        </w:rPr>
        <w:t>377</w:t>
      </w:r>
      <w:r>
        <w:rPr>
          <w:rFonts w:eastAsia="Arial" w:cs="Arial" w:ascii="Arial" w:hAnsi="Arial"/>
          <w:sz w:val="24"/>
          <w:szCs w:val="24"/>
        </w:rPr>
        <w:t>, 517–520. doi:</w:t>
      </w:r>
      <w:hyperlink r:id="rId26">
        <w:r>
          <w:rPr>
            <w:rStyle w:val="InternetLink"/>
            <w:rFonts w:eastAsia="Arial" w:cs="Arial" w:ascii="Arial" w:hAnsi="Arial"/>
            <w:color w:val="0E35B3"/>
            <w:sz w:val="24"/>
            <w:szCs w:val="24"/>
          </w:rPr>
          <w:t>10.1038/377517a0</w:t>
        </w:r>
      </w:hyperlink>
      <w:bookmarkStart w:id="20" w:name="page23"/>
      <w:bookmarkEnd w:id="20"/>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Floyd, R. M., Rogers, A. D., Lambshead, P. J. D. &amp; Smith, C. R. (2005). Nematode-specific PCR primers for the 18S small subunit rRNA gene. </w:t>
      </w:r>
      <w:r>
        <w:rPr>
          <w:rFonts w:eastAsia="Arial" w:cs="Arial" w:ascii="Arial" w:hAnsi="Arial"/>
          <w:i/>
          <w:sz w:val="24"/>
          <w:szCs w:val="24"/>
        </w:rPr>
        <w:t>Molecular Ecology Notes</w:t>
      </w:r>
      <w:r>
        <w:rPr>
          <w:rFonts w:eastAsia="Arial" w:cs="Arial" w:ascii="Arial" w:hAnsi="Arial"/>
          <w:sz w:val="24"/>
          <w:szCs w:val="24"/>
        </w:rPr>
        <w:t xml:space="preserve">, </w:t>
      </w:r>
      <w:r>
        <w:rPr>
          <w:rFonts w:eastAsia="Arial" w:cs="Arial" w:ascii="Arial" w:hAnsi="Arial"/>
          <w:i/>
          <w:sz w:val="24"/>
          <w:szCs w:val="24"/>
        </w:rPr>
        <w:t>5</w:t>
      </w:r>
      <w:r>
        <w:rPr>
          <w:rFonts w:eastAsia="Arial" w:cs="Arial" w:ascii="Arial" w:hAnsi="Arial"/>
          <w:sz w:val="24"/>
          <w:szCs w:val="24"/>
        </w:rPr>
        <w:t>, 611–612. doi:</w:t>
      </w:r>
      <w:r>
        <w:rPr>
          <w:rFonts w:eastAsia="Arial" w:cs="Arial" w:ascii="Arial" w:hAnsi="Arial"/>
          <w:color w:val="0E35B3"/>
          <w:sz w:val="24"/>
          <w:szCs w:val="24"/>
        </w:rPr>
        <w:t>10.1111/j.1471-8286.2005.01009.x</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Gandon, S. &amp; Michalakis, Y. (2000). Evolution of parasite virulence against qualitative or quantitative host resistance. </w:t>
      </w:r>
      <w:r>
        <w:rPr>
          <w:rFonts w:eastAsia="Arial" w:cs="Arial" w:ascii="Arial" w:hAnsi="Arial"/>
          <w:i/>
          <w:sz w:val="24"/>
          <w:szCs w:val="24"/>
        </w:rPr>
        <w:t>Proceedings of the Royal Society of London. Series B: Biological Sciences</w:t>
      </w:r>
      <w:r>
        <w:rPr>
          <w:rFonts w:eastAsia="Arial" w:cs="Arial" w:ascii="Arial" w:hAnsi="Arial"/>
          <w:sz w:val="24"/>
          <w:szCs w:val="24"/>
        </w:rPr>
        <w:t xml:space="preserve">, </w:t>
      </w:r>
      <w:r>
        <w:rPr>
          <w:rFonts w:eastAsia="Arial" w:cs="Arial" w:ascii="Arial" w:hAnsi="Arial"/>
          <w:i/>
          <w:sz w:val="24"/>
          <w:szCs w:val="24"/>
        </w:rPr>
        <w:t>267</w:t>
      </w:r>
      <w:r>
        <w:rPr>
          <w:rFonts w:eastAsia="Arial" w:cs="Arial" w:ascii="Arial" w:hAnsi="Arial"/>
          <w:sz w:val="24"/>
          <w:szCs w:val="24"/>
        </w:rPr>
        <w:t>, 985–990. doi:</w:t>
      </w:r>
      <w:hyperlink r:id="rId27">
        <w:r>
          <w:rPr>
            <w:rStyle w:val="InternetLink"/>
            <w:rFonts w:eastAsia="Arial" w:cs="Arial" w:ascii="Arial" w:hAnsi="Arial"/>
            <w:color w:val="0E35B3"/>
            <w:sz w:val="24"/>
            <w:szCs w:val="24"/>
          </w:rPr>
          <w:t>10.1098/rspb.2000.1100</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Graham,  A.  L.,  Allen,  J.  E.  &amp;  Read,  A.  F.  (2005).  Evolutionary  causes  and  consequences  of immunopathology.  </w:t>
      </w:r>
      <w:r>
        <w:rPr>
          <w:rFonts w:eastAsia="Arial" w:cs="Arial" w:ascii="Arial" w:hAnsi="Arial"/>
          <w:i/>
          <w:sz w:val="24"/>
          <w:szCs w:val="24"/>
        </w:rPr>
        <w:t>Annual  Review  of  Ecology,  Evolution,  and  Systematics</w:t>
      </w:r>
      <w:r>
        <w:rPr>
          <w:rFonts w:eastAsia="Arial" w:cs="Arial" w:ascii="Arial" w:hAnsi="Arial"/>
          <w:sz w:val="24"/>
          <w:szCs w:val="24"/>
        </w:rPr>
        <w:t xml:space="preserve">,  </w:t>
      </w:r>
      <w:r>
        <w:rPr>
          <w:rFonts w:eastAsia="Arial" w:cs="Arial" w:ascii="Arial" w:hAnsi="Arial"/>
          <w:i/>
          <w:sz w:val="24"/>
          <w:szCs w:val="24"/>
        </w:rPr>
        <w:t>36</w:t>
      </w:r>
      <w:r>
        <w:rPr>
          <w:rFonts w:eastAsia="Arial" w:cs="Arial" w:ascii="Arial" w:hAnsi="Arial"/>
          <w:sz w:val="24"/>
          <w:szCs w:val="24"/>
        </w:rPr>
        <w:t>,  373–397. doi:</w:t>
      </w:r>
      <w:hyperlink r:id="rId28">
        <w:r>
          <w:rPr>
            <w:rStyle w:val="InternetLink"/>
            <w:rFonts w:eastAsia="Arial" w:cs="Arial" w:ascii="Arial" w:hAnsi="Arial"/>
            <w:color w:val="0E35B3"/>
            <w:sz w:val="24"/>
            <w:szCs w:val="24"/>
          </w:rPr>
          <w:t>10.1146/annurev.ecolsys.36.102003.152622</w:t>
        </w:r>
      </w:hyperlink>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Gregorová, S. &amp; Forejt, J. (2000). PWD/Ph and PWK/Ph inbred mouse strains of </w:t>
      </w:r>
      <w:r>
        <w:rPr>
          <w:rFonts w:eastAsia="Arial" w:cs="Arial" w:ascii="Arial" w:hAnsi="Arial"/>
          <w:i/>
          <w:sz w:val="24"/>
          <w:szCs w:val="24"/>
        </w:rPr>
        <w:t xml:space="preserve">Mus m. musculus </w:t>
      </w:r>
      <w:r>
        <w:rPr>
          <w:rFonts w:eastAsia="Arial" w:cs="Arial" w:ascii="Arial" w:hAnsi="Arial"/>
          <w:sz w:val="24"/>
          <w:szCs w:val="24"/>
        </w:rPr>
        <w:t xml:space="preserve">subspecies–a valuable resource of phenotypic variations and genomic polymorphisms. </w:t>
      </w:r>
      <w:r>
        <w:rPr>
          <w:rFonts w:eastAsia="Arial" w:cs="Arial" w:ascii="Arial" w:hAnsi="Arial"/>
          <w:i/>
          <w:sz w:val="24"/>
          <w:szCs w:val="24"/>
        </w:rPr>
        <w:t>Folia Biologica</w:t>
      </w:r>
      <w:r>
        <w:rPr>
          <w:rFonts w:eastAsia="Arial" w:cs="Arial" w:ascii="Arial" w:hAnsi="Arial"/>
          <w:sz w:val="24"/>
          <w:szCs w:val="24"/>
        </w:rPr>
        <w:t>,</w:t>
      </w:r>
      <w:r>
        <w:rPr>
          <w:rFonts w:eastAsia="Arial" w:cs="Arial" w:ascii="Arial" w:hAnsi="Arial"/>
          <w:i/>
          <w:sz w:val="24"/>
          <w:szCs w:val="24"/>
        </w:rPr>
        <w:t xml:space="preserve"> 46</w:t>
      </w:r>
      <w:r>
        <w:rPr>
          <w:rFonts w:eastAsia="Arial" w:cs="Arial" w:ascii="Arial" w:hAnsi="Arial"/>
          <w:sz w:val="24"/>
          <w:szCs w:val="24"/>
        </w:rPr>
        <w:t>, 31–41.</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Haberkorn, A. (1970). Die Entwicklung von </w:t>
      </w:r>
      <w:r>
        <w:rPr>
          <w:rFonts w:eastAsia="Arial" w:cs="Arial" w:ascii="Arial" w:hAnsi="Arial"/>
          <w:i/>
          <w:sz w:val="24"/>
          <w:szCs w:val="24"/>
        </w:rPr>
        <w:t>Eimeria falciformis</w:t>
      </w:r>
      <w:r>
        <w:rPr>
          <w:rFonts w:eastAsia="Arial" w:cs="Arial" w:ascii="Arial" w:hAnsi="Arial"/>
          <w:sz w:val="24"/>
          <w:szCs w:val="24"/>
        </w:rPr>
        <w:t xml:space="preserve"> (Eimer 1870) in der weißen Maus (</w:t>
      </w:r>
      <w:r>
        <w:rPr>
          <w:rFonts w:eastAsia="Arial" w:cs="Arial" w:ascii="Arial" w:hAnsi="Arial"/>
          <w:i/>
          <w:sz w:val="24"/>
          <w:szCs w:val="24"/>
        </w:rPr>
        <w:t>Mus musculus</w:t>
      </w:r>
      <w:r>
        <w:rPr>
          <w:rFonts w:eastAsia="Arial" w:cs="Arial" w:ascii="Arial" w:hAnsi="Arial"/>
          <w:sz w:val="24"/>
          <w:szCs w:val="24"/>
        </w:rPr>
        <w:t xml:space="preserve">). </w:t>
      </w:r>
      <w:r>
        <w:rPr>
          <w:rFonts w:eastAsia="Arial" w:cs="Arial" w:ascii="Arial" w:hAnsi="Arial"/>
          <w:i/>
          <w:sz w:val="24"/>
          <w:szCs w:val="24"/>
        </w:rPr>
        <w:t>Zeitschrift für Parasitenkunde</w:t>
      </w:r>
      <w:r>
        <w:rPr>
          <w:rFonts w:eastAsia="Arial" w:cs="Arial" w:ascii="Arial" w:hAnsi="Arial"/>
          <w:sz w:val="24"/>
          <w:szCs w:val="24"/>
        </w:rPr>
        <w:t xml:space="preserve">, </w:t>
      </w:r>
      <w:r>
        <w:rPr>
          <w:rFonts w:eastAsia="Arial" w:cs="Arial" w:ascii="Arial" w:hAnsi="Arial"/>
          <w:i/>
          <w:sz w:val="24"/>
          <w:szCs w:val="24"/>
        </w:rPr>
        <w:t>34</w:t>
      </w:r>
      <w:r>
        <w:rPr>
          <w:rFonts w:eastAsia="Arial" w:cs="Arial" w:ascii="Arial" w:hAnsi="Arial"/>
          <w:sz w:val="24"/>
          <w:szCs w:val="24"/>
        </w:rPr>
        <w:t>, 49–67. doi:</w:t>
      </w:r>
      <w:hyperlink r:id="rId29">
        <w:r>
          <w:rPr>
            <w:rStyle w:val="InternetLink"/>
            <w:rFonts w:eastAsia="Arial" w:cs="Arial" w:ascii="Arial" w:hAnsi="Arial"/>
            <w:color w:val="0E35B3"/>
            <w:sz w:val="24"/>
            <w:szCs w:val="24"/>
          </w:rPr>
          <w:t>10.1007/BF00629179</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Howick, V. M. &amp; Lazzaro, B. P. (2017). The genetic architecture of defence as resistance to and tolerance of bacterial infection in </w:t>
      </w:r>
      <w:r>
        <w:rPr>
          <w:rFonts w:eastAsia="Arial" w:cs="Arial" w:ascii="Arial" w:hAnsi="Arial"/>
          <w:i/>
          <w:sz w:val="24"/>
          <w:szCs w:val="24"/>
        </w:rPr>
        <w:t>Drosophila melanogaster</w:t>
      </w:r>
      <w:r>
        <w:rPr>
          <w:rFonts w:eastAsia="Arial" w:cs="Arial" w:ascii="Arial" w:hAnsi="Arial"/>
          <w:sz w:val="24"/>
          <w:szCs w:val="24"/>
        </w:rPr>
        <w:t xml:space="preserve">. </w:t>
      </w:r>
      <w:r>
        <w:rPr>
          <w:rFonts w:eastAsia="Arial" w:cs="Arial" w:ascii="Arial" w:hAnsi="Arial"/>
          <w:i/>
          <w:sz w:val="24"/>
          <w:szCs w:val="24"/>
        </w:rPr>
        <w:t>Molecular Ecology</w:t>
      </w:r>
      <w:r>
        <w:rPr>
          <w:rFonts w:eastAsia="Arial" w:cs="Arial" w:ascii="Arial" w:hAnsi="Arial"/>
          <w:sz w:val="24"/>
          <w:szCs w:val="24"/>
        </w:rPr>
        <w:t xml:space="preserve">, </w:t>
      </w:r>
      <w:r>
        <w:rPr>
          <w:rFonts w:eastAsia="Arial" w:cs="Arial" w:ascii="Arial" w:hAnsi="Arial"/>
          <w:i/>
          <w:sz w:val="24"/>
          <w:szCs w:val="24"/>
        </w:rPr>
        <w:t>26</w:t>
      </w:r>
      <w:r>
        <w:rPr>
          <w:rFonts w:eastAsia="Arial" w:cs="Arial" w:ascii="Arial" w:hAnsi="Arial"/>
          <w:sz w:val="24"/>
          <w:szCs w:val="24"/>
        </w:rPr>
        <w:t>, 1533–1546. doi:</w:t>
      </w:r>
      <w:r>
        <w:rPr>
          <w:rFonts w:eastAsia="Arial" w:cs="Arial" w:ascii="Arial" w:hAnsi="Arial"/>
          <w:color w:val="0E35B3"/>
          <w:sz w:val="24"/>
          <w:szCs w:val="24"/>
        </w:rPr>
        <w:t>10.1111/mec.14017</w:t>
      </w:r>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Jackman, S. (2020). </w:t>
      </w:r>
      <w:r>
        <w:rPr>
          <w:rFonts w:eastAsia="Arial" w:cs="Arial" w:ascii="Arial" w:hAnsi="Arial"/>
          <w:i/>
          <w:sz w:val="24"/>
          <w:szCs w:val="24"/>
        </w:rPr>
        <w:t>pscl: Classes and methods for R developed in the political science computational laboratory</w:t>
      </w:r>
      <w:r>
        <w:rPr>
          <w:rFonts w:eastAsia="Arial" w:cs="Arial" w:ascii="Arial" w:hAnsi="Arial"/>
          <w:sz w:val="24"/>
          <w:szCs w:val="24"/>
        </w:rPr>
        <w:t>. United States Studies Centre, University of Sydney. Sydney, New South Wales, Australia.</w:t>
      </w:r>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Janzen, D. H. (1980). When is it coevolution? </w:t>
      </w:r>
      <w:r>
        <w:rPr>
          <w:rFonts w:eastAsia="Arial" w:cs="Arial" w:ascii="Arial" w:hAnsi="Arial"/>
          <w:i/>
          <w:sz w:val="24"/>
          <w:szCs w:val="24"/>
        </w:rPr>
        <w:t>Evolution</w:t>
      </w:r>
      <w:r>
        <w:rPr>
          <w:rFonts w:eastAsia="Arial" w:cs="Arial" w:ascii="Arial" w:hAnsi="Arial"/>
          <w:sz w:val="24"/>
          <w:szCs w:val="24"/>
        </w:rPr>
        <w:t xml:space="preserve">, </w:t>
      </w:r>
      <w:r>
        <w:rPr>
          <w:rFonts w:eastAsia="Arial" w:cs="Arial" w:ascii="Arial" w:hAnsi="Arial"/>
          <w:i/>
          <w:sz w:val="24"/>
          <w:szCs w:val="24"/>
        </w:rPr>
        <w:t>34</w:t>
      </w:r>
      <w:r>
        <w:rPr>
          <w:rFonts w:eastAsia="Arial" w:cs="Arial" w:ascii="Arial" w:hAnsi="Arial"/>
          <w:sz w:val="24"/>
          <w:szCs w:val="24"/>
        </w:rPr>
        <w:t>, 611–612. doi:</w:t>
      </w:r>
      <w:r>
        <w:rPr>
          <w:rFonts w:eastAsia="Arial" w:cs="Arial" w:ascii="Arial" w:hAnsi="Arial"/>
          <w:color w:val="0E35B3"/>
          <w:sz w:val="24"/>
          <w:szCs w:val="24"/>
        </w:rPr>
        <w:t>10.1111/j.1558- 5646.1980.tb04849.x</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Jarquín-Díaz, V. H., Balard, A., Jost, J., Kraft, J., Dikmen, M. N., Kvičerová, J. &amp; Heitlinger, E. (2019). Detection and quantification of house mouse </w:t>
      </w:r>
      <w:r>
        <w:rPr>
          <w:rFonts w:eastAsia="Arial" w:cs="Arial" w:ascii="Arial" w:hAnsi="Arial"/>
          <w:i/>
          <w:sz w:val="24"/>
          <w:szCs w:val="24"/>
        </w:rPr>
        <w:t>Eimeria</w:t>
      </w:r>
      <w:r>
        <w:rPr>
          <w:rFonts w:eastAsia="Arial" w:cs="Arial" w:ascii="Arial" w:hAnsi="Arial"/>
          <w:sz w:val="24"/>
          <w:szCs w:val="24"/>
        </w:rPr>
        <w:t xml:space="preserve"> at the species level – Challenges and solutions  for  the  assessment  of  coccidia  in  wildlife.  </w:t>
      </w:r>
      <w:r>
        <w:rPr>
          <w:rFonts w:eastAsia="Arial" w:cs="Arial" w:ascii="Arial" w:hAnsi="Arial"/>
          <w:i/>
          <w:sz w:val="24"/>
          <w:szCs w:val="24"/>
        </w:rPr>
        <w:t>International  Journal  for  Parasitology: Parasites and Wildlife</w:t>
      </w:r>
      <w:r>
        <w:rPr>
          <w:rFonts w:eastAsia="Arial" w:cs="Arial" w:ascii="Arial" w:hAnsi="Arial"/>
          <w:sz w:val="24"/>
          <w:szCs w:val="24"/>
        </w:rPr>
        <w:t>,</w:t>
      </w:r>
      <w:r>
        <w:rPr>
          <w:rFonts w:eastAsia="Arial" w:cs="Arial" w:ascii="Arial" w:hAnsi="Arial"/>
          <w:i/>
          <w:sz w:val="24"/>
          <w:szCs w:val="24"/>
        </w:rPr>
        <w:t xml:space="preserve"> 10</w:t>
      </w:r>
      <w:r>
        <w:rPr>
          <w:rFonts w:eastAsia="Arial" w:cs="Arial" w:ascii="Arial" w:hAnsi="Arial"/>
          <w:sz w:val="24"/>
          <w:szCs w:val="24"/>
        </w:rPr>
        <w:t>, 29–40. doi:</w:t>
      </w:r>
      <w:hyperlink r:id="rId30">
        <w:r>
          <w:rPr>
            <w:rStyle w:val="InternetLink"/>
            <w:rFonts w:eastAsia="Arial" w:cs="Arial" w:ascii="Arial" w:hAnsi="Arial"/>
            <w:color w:val="0E35B3"/>
            <w:sz w:val="24"/>
            <w:szCs w:val="24"/>
          </w:rPr>
          <w:t>10.1016/j.ijppaw.2019.07.004</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Klemme,  I.  &amp;  Karvonen,  A.  (2016).  Vertebrate  defense  against  parasites:  Interactions  between</w:t>
      </w:r>
      <w:r>
        <w:rPr>
          <w:rFonts w:eastAsia="Times New Roman" w:cs="Times New Roman" w:ascii="Arial" w:hAnsi="Arial"/>
          <w:sz w:val="24"/>
          <w:szCs w:val="24"/>
        </w:rPr>
        <w:t xml:space="preserve"> </w:t>
      </w:r>
      <w:r>
        <w:rPr>
          <w:rFonts w:eastAsia="Arial" w:cs="Arial" w:ascii="Arial" w:hAnsi="Arial"/>
          <w:sz w:val="24"/>
          <w:szCs w:val="24"/>
        </w:rPr>
        <w:t>avoidance,</w:t>
      </w:r>
      <w:r>
        <w:rPr>
          <w:rFonts w:eastAsia="Times New Roman" w:cs="Times New Roman" w:ascii="Arial" w:hAnsi="Arial"/>
          <w:sz w:val="24"/>
          <w:szCs w:val="24"/>
        </w:rPr>
        <w:t xml:space="preserve"> </w:t>
      </w:r>
      <w:r>
        <w:rPr>
          <w:rFonts w:eastAsia="Arial" w:cs="Arial" w:ascii="Arial" w:hAnsi="Arial"/>
          <w:sz w:val="24"/>
          <w:szCs w:val="24"/>
        </w:rPr>
        <w:t>resistance,</w:t>
      </w:r>
      <w:r>
        <w:rPr>
          <w:rFonts w:eastAsia="Times New Roman" w:cs="Times New Roman" w:ascii="Arial" w:hAnsi="Arial"/>
          <w:sz w:val="24"/>
          <w:szCs w:val="24"/>
        </w:rPr>
        <w:t xml:space="preserve"> </w:t>
      </w:r>
      <w:r>
        <w:rPr>
          <w:rFonts w:eastAsia="Arial" w:cs="Arial" w:ascii="Arial" w:hAnsi="Arial"/>
          <w:sz w:val="24"/>
          <w:szCs w:val="24"/>
        </w:rPr>
        <w:t>and</w:t>
      </w:r>
      <w:r>
        <w:rPr>
          <w:rFonts w:eastAsia="Times New Roman" w:cs="Times New Roman" w:ascii="Arial" w:hAnsi="Arial"/>
          <w:sz w:val="24"/>
          <w:szCs w:val="24"/>
        </w:rPr>
        <w:t xml:space="preserve"> </w:t>
      </w:r>
      <w:r>
        <w:rPr>
          <w:rFonts w:eastAsia="Arial" w:cs="Arial" w:ascii="Arial" w:hAnsi="Arial"/>
          <w:sz w:val="24"/>
          <w:szCs w:val="24"/>
        </w:rPr>
        <w:t>tolerance.</w:t>
      </w:r>
      <w:r>
        <w:rPr>
          <w:rFonts w:eastAsia="Times New Roman" w:cs="Times New Roman" w:ascii="Arial" w:hAnsi="Arial"/>
          <w:sz w:val="24"/>
          <w:szCs w:val="24"/>
        </w:rPr>
        <w:t xml:space="preserve"> </w:t>
      </w:r>
      <w:r>
        <w:rPr>
          <w:rFonts w:eastAsia="Arial" w:cs="Arial" w:ascii="Arial" w:hAnsi="Arial"/>
          <w:i/>
          <w:sz w:val="24"/>
          <w:szCs w:val="24"/>
        </w:rPr>
        <w:t>Ecology and</w:t>
      </w:r>
      <w:r>
        <w:rPr>
          <w:rFonts w:eastAsia="Times New Roman" w:cs="Times New Roman" w:ascii="Arial" w:hAnsi="Arial"/>
          <w:i/>
          <w:sz w:val="24"/>
          <w:szCs w:val="24"/>
        </w:rPr>
        <w:t xml:space="preserve"> </w:t>
      </w:r>
      <w:r>
        <w:rPr>
          <w:rFonts w:eastAsia="Arial" w:cs="Arial" w:ascii="Arial" w:hAnsi="Arial"/>
          <w:i/>
          <w:sz w:val="24"/>
          <w:szCs w:val="24"/>
        </w:rPr>
        <w:t>Evolution</w:t>
      </w:r>
      <w:r>
        <w:rPr>
          <w:rFonts w:eastAsia="Arial" w:cs="Arial" w:ascii="Arial" w:hAnsi="Arial"/>
          <w:sz w:val="24"/>
          <w:szCs w:val="24"/>
        </w:rPr>
        <w:t xml:space="preserve">, </w:t>
      </w:r>
      <w:r>
        <w:rPr>
          <w:rFonts w:eastAsia="Arial" w:cs="Arial" w:ascii="Arial" w:hAnsi="Arial"/>
          <w:i/>
          <w:sz w:val="24"/>
          <w:szCs w:val="24"/>
        </w:rPr>
        <w:t>7</w:t>
      </w:r>
      <w:r>
        <w:rPr>
          <w:rFonts w:eastAsia="Arial" w:cs="Arial" w:ascii="Arial" w:hAnsi="Arial"/>
          <w:sz w:val="24"/>
          <w:szCs w:val="24"/>
        </w:rPr>
        <w:t>,</w:t>
      </w:r>
      <w:r>
        <w:rPr>
          <w:rFonts w:eastAsia="Times New Roman" w:cs="Times New Roman" w:ascii="Arial" w:hAnsi="Arial"/>
          <w:sz w:val="24"/>
          <w:szCs w:val="24"/>
        </w:rPr>
        <w:t xml:space="preserve"> </w:t>
      </w:r>
      <w:r>
        <w:rPr>
          <w:rFonts w:eastAsia="Arial" w:cs="Arial" w:ascii="Arial" w:hAnsi="Arial"/>
          <w:sz w:val="24"/>
          <w:szCs w:val="24"/>
        </w:rPr>
        <w:t>561–571. doi:</w:t>
      </w:r>
      <w:hyperlink r:id="rId31">
        <w:r>
          <w:rPr>
            <w:rStyle w:val="InternetLink"/>
            <w:rFonts w:eastAsia="Arial" w:cs="Arial" w:ascii="Arial" w:hAnsi="Arial"/>
            <w:color w:val="0E35B3"/>
            <w:sz w:val="24"/>
            <w:szCs w:val="24"/>
          </w:rPr>
          <w:t>10.1002/ece3.2645</w:t>
        </w:r>
      </w:hyperlink>
      <w:bookmarkStart w:id="21" w:name="page24"/>
      <w:bookmarkEnd w:id="21"/>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Kutzer, M. A. M. &amp; Armitage, S. A. O. (2016). Maximising fitness in the face of parasites: A review of host tolerance. </w:t>
      </w:r>
      <w:r>
        <w:rPr>
          <w:rFonts w:eastAsia="Arial" w:cs="Arial" w:ascii="Arial" w:hAnsi="Arial"/>
          <w:i/>
          <w:sz w:val="24"/>
          <w:szCs w:val="24"/>
        </w:rPr>
        <w:t>Zoology</w:t>
      </w:r>
      <w:r>
        <w:rPr>
          <w:rFonts w:eastAsia="Arial" w:cs="Arial" w:ascii="Arial" w:hAnsi="Arial"/>
          <w:sz w:val="24"/>
          <w:szCs w:val="24"/>
        </w:rPr>
        <w:t xml:space="preserve">, </w:t>
      </w:r>
      <w:r>
        <w:rPr>
          <w:rFonts w:eastAsia="Arial" w:cs="Arial" w:ascii="Arial" w:hAnsi="Arial"/>
          <w:i/>
          <w:sz w:val="24"/>
          <w:szCs w:val="24"/>
        </w:rPr>
        <w:t>119</w:t>
      </w:r>
      <w:r>
        <w:rPr>
          <w:rFonts w:eastAsia="Arial" w:cs="Arial" w:ascii="Arial" w:hAnsi="Arial"/>
          <w:sz w:val="24"/>
          <w:szCs w:val="24"/>
        </w:rPr>
        <w:t>, 281–289. doi:</w:t>
      </w:r>
      <w:hyperlink r:id="rId32">
        <w:r>
          <w:rPr>
            <w:rStyle w:val="InternetLink"/>
            <w:rFonts w:eastAsia="Arial" w:cs="Arial" w:ascii="Arial" w:hAnsi="Arial"/>
            <w:color w:val="0E35B3"/>
            <w:sz w:val="24"/>
            <w:szCs w:val="24"/>
          </w:rPr>
          <w:t>10.1016/j.zool.2016.05.011</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Lefèvre, T., Williams, A. J. &amp; de Roode, J. C. (2010). Genetic variation in resistance, but not tolerance, to a protozoan parasite in the monarch butterfly. </w:t>
      </w:r>
      <w:r>
        <w:rPr>
          <w:rFonts w:eastAsia="Arial" w:cs="Arial" w:ascii="Arial" w:hAnsi="Arial"/>
          <w:i/>
          <w:sz w:val="24"/>
          <w:szCs w:val="24"/>
        </w:rPr>
        <w:t>Proceedings of the Royal Society B: Biological Sciences</w:t>
      </w:r>
      <w:r>
        <w:rPr>
          <w:rFonts w:eastAsia="Arial" w:cs="Arial" w:ascii="Arial" w:hAnsi="Arial"/>
          <w:sz w:val="24"/>
          <w:szCs w:val="24"/>
        </w:rPr>
        <w:t>,</w:t>
      </w:r>
      <w:r>
        <w:rPr>
          <w:rFonts w:eastAsia="Arial" w:cs="Arial" w:ascii="Arial" w:hAnsi="Arial"/>
          <w:i/>
          <w:sz w:val="24"/>
          <w:szCs w:val="24"/>
        </w:rPr>
        <w:t xml:space="preserve"> 278</w:t>
      </w:r>
      <w:r>
        <w:rPr>
          <w:rFonts w:eastAsia="Arial" w:cs="Arial" w:ascii="Arial" w:hAnsi="Arial"/>
          <w:sz w:val="24"/>
          <w:szCs w:val="24"/>
        </w:rPr>
        <w:t>, 751–759. doi:</w:t>
      </w:r>
      <w:hyperlink r:id="rId33">
        <w:r>
          <w:rPr>
            <w:rStyle w:val="InternetLink"/>
            <w:rFonts w:eastAsia="Arial" w:cs="Arial" w:ascii="Arial" w:hAnsi="Arial"/>
            <w:color w:val="0E35B3"/>
            <w:sz w:val="24"/>
            <w:szCs w:val="24"/>
          </w:rPr>
          <w:t>10.1098/rspb.2010.1479</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Lüdecke, D. (2018). Ggeffects: Tidy data frames of marginal effects from regression models. </w:t>
      </w:r>
      <w:r>
        <w:rPr>
          <w:rFonts w:eastAsia="Arial" w:cs="Arial" w:ascii="Arial" w:hAnsi="Arial"/>
          <w:i/>
          <w:sz w:val="24"/>
          <w:szCs w:val="24"/>
        </w:rPr>
        <w:t>Journal of Open Source Software</w:t>
      </w:r>
      <w:r>
        <w:rPr>
          <w:rFonts w:eastAsia="Arial" w:cs="Arial" w:ascii="Arial" w:hAnsi="Arial"/>
          <w:sz w:val="24"/>
          <w:szCs w:val="24"/>
        </w:rPr>
        <w:t>,</w:t>
      </w:r>
      <w:r>
        <w:rPr>
          <w:rFonts w:eastAsia="Arial" w:cs="Arial" w:ascii="Arial" w:hAnsi="Arial"/>
          <w:i/>
          <w:sz w:val="24"/>
          <w:szCs w:val="24"/>
        </w:rPr>
        <w:t xml:space="preserve"> 3</w:t>
      </w:r>
      <w:r>
        <w:rPr>
          <w:rFonts w:eastAsia="Arial" w:cs="Arial" w:ascii="Arial" w:hAnsi="Arial"/>
          <w:sz w:val="24"/>
          <w:szCs w:val="24"/>
        </w:rPr>
        <w:t>, 772. doi:</w:t>
      </w:r>
      <w:hyperlink r:id="rId34">
        <w:r>
          <w:rPr>
            <w:rStyle w:val="InternetLink"/>
            <w:rFonts w:eastAsia="Arial" w:cs="Arial" w:ascii="Arial" w:hAnsi="Arial"/>
            <w:color w:val="0E35B3"/>
            <w:sz w:val="24"/>
            <w:szCs w:val="24"/>
          </w:rPr>
          <w:t>10.21105/joss.00772</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Macholán, M., Baird, S. J. E., Fornůsková, A., Martincová, I., Rubı́k, P., Ďureje, Ľ., Heitlinger, E. &amp; Piálek, J. (2019). Widespread introgression of the </w:t>
      </w:r>
      <w:r>
        <w:rPr>
          <w:rFonts w:eastAsia="Arial" w:cs="Arial" w:ascii="Arial" w:hAnsi="Arial"/>
          <w:i/>
          <w:sz w:val="24"/>
          <w:szCs w:val="24"/>
        </w:rPr>
        <w:t>Mus musculus musculus</w:t>
      </w:r>
      <w:r>
        <w:rPr>
          <w:rFonts w:eastAsia="Arial" w:cs="Arial" w:ascii="Arial" w:hAnsi="Arial"/>
          <w:sz w:val="24"/>
          <w:szCs w:val="24"/>
        </w:rPr>
        <w:t xml:space="preserve"> Y chromosome in Central Europe. </w:t>
      </w:r>
      <w:r>
        <w:rPr>
          <w:rFonts w:eastAsia="Arial" w:cs="Arial" w:ascii="Arial" w:hAnsi="Arial"/>
          <w:i/>
          <w:sz w:val="24"/>
          <w:szCs w:val="24"/>
        </w:rPr>
        <w:t>bioRxiv</w:t>
      </w:r>
      <w:r>
        <w:rPr>
          <w:rFonts w:eastAsia="Arial" w:cs="Arial" w:ascii="Arial" w:hAnsi="Arial"/>
          <w:sz w:val="24"/>
          <w:szCs w:val="24"/>
        </w:rPr>
        <w:t>. doi:</w:t>
      </w:r>
      <w:hyperlink r:id="rId35">
        <w:r>
          <w:rPr>
            <w:rStyle w:val="InternetLink"/>
            <w:rFonts w:eastAsia="Arial" w:cs="Arial" w:ascii="Arial" w:hAnsi="Arial"/>
            <w:color w:val="0E35B3"/>
            <w:sz w:val="24"/>
            <w:szCs w:val="24"/>
          </w:rPr>
          <w:t>10.1101/2019.12.23.887471</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Martincová, I., Ďureje, Ľ., Kreisinger, J., Macholán, M. &amp; Piálek, J. (2019). Phenotypic effects of the Y chromosome are variable and structured in hybrids among house mouse recombinant lines. </w:t>
      </w:r>
      <w:r>
        <w:rPr>
          <w:rFonts w:eastAsia="Arial" w:cs="Arial" w:ascii="Arial" w:hAnsi="Arial"/>
          <w:i/>
          <w:sz w:val="24"/>
          <w:szCs w:val="24"/>
        </w:rPr>
        <w:t>Ecology and Evolution</w:t>
      </w:r>
      <w:r>
        <w:rPr>
          <w:rFonts w:eastAsia="Arial" w:cs="Arial" w:ascii="Arial" w:hAnsi="Arial"/>
          <w:sz w:val="24"/>
          <w:szCs w:val="24"/>
        </w:rPr>
        <w:t>,</w:t>
      </w:r>
      <w:r>
        <w:rPr>
          <w:rFonts w:eastAsia="Arial" w:cs="Arial" w:ascii="Arial" w:hAnsi="Arial"/>
          <w:i/>
          <w:sz w:val="24"/>
          <w:szCs w:val="24"/>
        </w:rPr>
        <w:t xml:space="preserve"> 9</w:t>
      </w:r>
      <w:r>
        <w:rPr>
          <w:rFonts w:eastAsia="Arial" w:cs="Arial" w:ascii="Arial" w:hAnsi="Arial"/>
          <w:sz w:val="24"/>
          <w:szCs w:val="24"/>
        </w:rPr>
        <w:t>, 6124–6137. doi:</w:t>
      </w:r>
      <w:hyperlink r:id="rId36">
        <w:r>
          <w:rPr>
            <w:rStyle w:val="InternetLink"/>
            <w:rFonts w:eastAsia="Arial" w:cs="Arial" w:ascii="Arial" w:hAnsi="Arial"/>
            <w:color w:val="0E35B3"/>
            <w:sz w:val="24"/>
            <w:szCs w:val="24"/>
          </w:rPr>
          <w:t>10.1002/ece3.5196</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Mazé-Guilmo, E., Loot, G., Páez, D. J., Lefèvre, T. &amp; Blanchet, S. (2014). Heritable variation in host tolerance and resistance inferred from a wild host–parasite system. </w:t>
      </w:r>
      <w:r>
        <w:rPr>
          <w:rFonts w:eastAsia="Arial" w:cs="Arial" w:ascii="Arial" w:hAnsi="Arial"/>
          <w:i/>
          <w:sz w:val="24"/>
          <w:szCs w:val="24"/>
        </w:rPr>
        <w:t>Proceedings of the Royal Society B: Biological Sciences</w:t>
      </w:r>
      <w:r>
        <w:rPr>
          <w:rFonts w:eastAsia="Arial" w:cs="Arial" w:ascii="Arial" w:hAnsi="Arial"/>
          <w:sz w:val="24"/>
          <w:szCs w:val="24"/>
        </w:rPr>
        <w:t>,</w:t>
      </w:r>
      <w:r>
        <w:rPr>
          <w:rFonts w:eastAsia="Arial" w:cs="Arial" w:ascii="Arial" w:hAnsi="Arial"/>
          <w:i/>
          <w:sz w:val="24"/>
          <w:szCs w:val="24"/>
        </w:rPr>
        <w:t xml:space="preserve"> 281</w:t>
      </w:r>
      <w:r>
        <w:rPr>
          <w:rFonts w:eastAsia="Arial" w:cs="Arial" w:ascii="Arial" w:hAnsi="Arial"/>
          <w:sz w:val="24"/>
          <w:szCs w:val="24"/>
        </w:rPr>
        <w:t>, 20132567. doi:</w:t>
      </w:r>
      <w:hyperlink r:id="rId37">
        <w:r>
          <w:rPr>
            <w:rStyle w:val="InternetLink"/>
            <w:rFonts w:eastAsia="Arial" w:cs="Arial" w:ascii="Arial" w:hAnsi="Arial"/>
            <w:color w:val="0E35B3"/>
            <w:sz w:val="24"/>
            <w:szCs w:val="24"/>
          </w:rPr>
          <w:t>10.1098/rspb.2013.2567</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Medzhitov, R., Schneider, D. S. &amp; Soares, M. P. (2012). Disease tolerance as a defense strategy. </w:t>
      </w:r>
      <w:r>
        <w:rPr>
          <w:rFonts w:eastAsia="Arial" w:cs="Arial" w:ascii="Arial" w:hAnsi="Arial"/>
          <w:i/>
          <w:sz w:val="24"/>
          <w:szCs w:val="24"/>
        </w:rPr>
        <w:t>Science</w:t>
      </w:r>
      <w:r>
        <w:rPr>
          <w:rFonts w:eastAsia="Arial" w:cs="Arial" w:ascii="Arial" w:hAnsi="Arial"/>
          <w:sz w:val="24"/>
          <w:szCs w:val="24"/>
        </w:rPr>
        <w:t xml:space="preserve">, </w:t>
      </w:r>
      <w:r>
        <w:rPr>
          <w:rFonts w:eastAsia="Arial" w:cs="Arial" w:ascii="Arial" w:hAnsi="Arial"/>
          <w:i/>
          <w:sz w:val="24"/>
          <w:szCs w:val="24"/>
        </w:rPr>
        <w:t>335</w:t>
      </w:r>
      <w:r>
        <w:rPr>
          <w:rFonts w:eastAsia="Arial" w:cs="Arial" w:ascii="Arial" w:hAnsi="Arial"/>
          <w:sz w:val="24"/>
          <w:szCs w:val="24"/>
        </w:rPr>
        <w:t>, 936–941. doi:</w:t>
      </w:r>
      <w:hyperlink r:id="rId38">
        <w:r>
          <w:rPr>
            <w:rStyle w:val="InternetLink"/>
            <w:rFonts w:eastAsia="Arial" w:cs="Arial" w:ascii="Arial" w:hAnsi="Arial"/>
            <w:color w:val="0E35B3"/>
            <w:sz w:val="24"/>
            <w:szCs w:val="24"/>
          </w:rPr>
          <w:t>10.1126/science.1214935</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Mesa, J. M., Scholes, D. R., Juvik, J. A. &amp; Paige, K. N. (2017). Molecular constraints on resistance-tolerance trade-offs. </w:t>
      </w:r>
      <w:r>
        <w:rPr>
          <w:rFonts w:eastAsia="Arial" w:cs="Arial" w:ascii="Arial" w:hAnsi="Arial"/>
          <w:i/>
          <w:sz w:val="24"/>
          <w:szCs w:val="24"/>
        </w:rPr>
        <w:t>Ecology</w:t>
      </w:r>
      <w:r>
        <w:rPr>
          <w:rFonts w:eastAsia="Arial" w:cs="Arial" w:ascii="Arial" w:hAnsi="Arial"/>
          <w:sz w:val="24"/>
          <w:szCs w:val="24"/>
        </w:rPr>
        <w:t xml:space="preserve">, </w:t>
      </w:r>
      <w:r>
        <w:rPr>
          <w:rFonts w:eastAsia="Arial" w:cs="Arial" w:ascii="Arial" w:hAnsi="Arial"/>
          <w:i/>
          <w:sz w:val="24"/>
          <w:szCs w:val="24"/>
        </w:rPr>
        <w:t>98</w:t>
      </w:r>
      <w:r>
        <w:rPr>
          <w:rFonts w:eastAsia="Arial" w:cs="Arial" w:ascii="Arial" w:hAnsi="Arial"/>
          <w:sz w:val="24"/>
          <w:szCs w:val="24"/>
        </w:rPr>
        <w:t>, 2528–2537. doi:</w:t>
      </w:r>
      <w:hyperlink r:id="rId39">
        <w:r>
          <w:rPr>
            <w:rStyle w:val="InternetLink"/>
            <w:rFonts w:eastAsia="Arial" w:cs="Arial" w:ascii="Arial" w:hAnsi="Arial"/>
            <w:color w:val="0E35B3"/>
            <w:sz w:val="24"/>
            <w:szCs w:val="24"/>
          </w:rPr>
          <w:t>10.1002/ecy.1948</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Piálek, J., Vyskočilová, M., Bímová, B., Havelková, D., Piálková, J., Dufková, P., Bencová, V., Ďureje, L., Albrecht, T., Hauffe, H. C., Macholán, M., Munclinger, P., Storchová, R., Zajícová, A., Holáň, V., Gregorová, S. &amp; Forejt, J. (2008). Development of unique house mouse resources suitable for evolutionary studies of speciation. </w:t>
      </w:r>
      <w:r>
        <w:rPr>
          <w:rFonts w:eastAsia="Arial" w:cs="Arial" w:ascii="Arial" w:hAnsi="Arial"/>
          <w:i/>
          <w:sz w:val="24"/>
          <w:szCs w:val="24"/>
        </w:rPr>
        <w:t>Journal of Heredity</w:t>
      </w:r>
      <w:r>
        <w:rPr>
          <w:rFonts w:eastAsia="Arial" w:cs="Arial" w:ascii="Arial" w:hAnsi="Arial"/>
          <w:sz w:val="24"/>
          <w:szCs w:val="24"/>
        </w:rPr>
        <w:t xml:space="preserve">, </w:t>
      </w:r>
      <w:r>
        <w:rPr>
          <w:rFonts w:eastAsia="Arial" w:cs="Arial" w:ascii="Arial" w:hAnsi="Arial"/>
          <w:i/>
          <w:sz w:val="24"/>
          <w:szCs w:val="24"/>
        </w:rPr>
        <w:t>99</w:t>
      </w:r>
      <w:r>
        <w:rPr>
          <w:rFonts w:eastAsia="Arial" w:cs="Arial" w:ascii="Arial" w:hAnsi="Arial"/>
          <w:sz w:val="24"/>
          <w:szCs w:val="24"/>
        </w:rPr>
        <w:t>, 34–44. doi:</w:t>
      </w:r>
      <w:hyperlink r:id="rId40">
        <w:r>
          <w:rPr>
            <w:rStyle w:val="InternetLink"/>
            <w:rFonts w:eastAsia="Arial" w:cs="Arial" w:ascii="Arial" w:hAnsi="Arial"/>
            <w:color w:val="0E35B3"/>
            <w:sz w:val="24"/>
            <w:szCs w:val="24"/>
          </w:rPr>
          <w:t>10.1093/jhered/esm083</w:t>
        </w:r>
      </w:hyperlink>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R  Development  Core  Team.  (2013).  </w:t>
      </w:r>
      <w:r>
        <w:rPr>
          <w:rFonts w:eastAsia="Arial" w:cs="Arial" w:ascii="Arial" w:hAnsi="Arial"/>
          <w:i/>
          <w:sz w:val="24"/>
          <w:szCs w:val="24"/>
        </w:rPr>
        <w:t>R:  A  language  and  environment  for  statistical  computing</w:t>
      </w:r>
      <w:r>
        <w:rPr>
          <w:rFonts w:eastAsia="Arial" w:cs="Arial" w:ascii="Arial" w:hAnsi="Arial"/>
          <w:sz w:val="24"/>
          <w:szCs w:val="24"/>
        </w:rPr>
        <w:t>. http://www.R-project.org/. R Foundation for Statistical Computing. Vienna, Austria.</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Råberg, L., Graham, A. L. &amp; Read, A. F. (2009). Decomposing health: Tolerance and resistance to parasites in animals. </w:t>
      </w:r>
      <w:r>
        <w:rPr>
          <w:rFonts w:eastAsia="Arial" w:cs="Arial" w:ascii="Arial" w:hAnsi="Arial"/>
          <w:i/>
          <w:sz w:val="24"/>
          <w:szCs w:val="24"/>
        </w:rPr>
        <w:t>Philosophical Transactions of the Royal Society B: Biological Sciences</w:t>
      </w:r>
      <w:r>
        <w:rPr>
          <w:rFonts w:eastAsia="Arial" w:cs="Arial" w:ascii="Arial" w:hAnsi="Arial"/>
          <w:sz w:val="24"/>
          <w:szCs w:val="24"/>
        </w:rPr>
        <w:t xml:space="preserve">, </w:t>
      </w:r>
      <w:r>
        <w:rPr>
          <w:rFonts w:eastAsia="Arial" w:cs="Arial" w:ascii="Arial" w:hAnsi="Arial"/>
          <w:i/>
          <w:sz w:val="24"/>
          <w:szCs w:val="24"/>
        </w:rPr>
        <w:t>364</w:t>
      </w:r>
      <w:r>
        <w:rPr>
          <w:rFonts w:eastAsia="Arial" w:cs="Arial" w:ascii="Arial" w:hAnsi="Arial"/>
          <w:sz w:val="24"/>
          <w:szCs w:val="24"/>
        </w:rPr>
        <w:t>, 37–49. doi:</w:t>
      </w:r>
      <w:hyperlink r:id="rId41">
        <w:r>
          <w:rPr>
            <w:rStyle w:val="InternetLink"/>
            <w:rFonts w:eastAsia="Arial" w:cs="Arial" w:ascii="Arial" w:hAnsi="Arial"/>
            <w:color w:val="0E35B3"/>
            <w:sz w:val="24"/>
            <w:szCs w:val="24"/>
          </w:rPr>
          <w:t>10.1098/rstb.2008.0184</w:t>
        </w:r>
      </w:hyperlink>
      <w:bookmarkStart w:id="22" w:name="page25"/>
      <w:bookmarkEnd w:id="22"/>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Råberg, L., Sim, D. &amp; Read, A. F. (2007). Disentangling genetic variation for resistance and tolerance to infectious diseases in animals. </w:t>
      </w:r>
      <w:r>
        <w:rPr>
          <w:rFonts w:eastAsia="Arial" w:cs="Arial" w:ascii="Arial" w:hAnsi="Arial"/>
          <w:i/>
          <w:sz w:val="24"/>
          <w:szCs w:val="24"/>
        </w:rPr>
        <w:t>Science</w:t>
      </w:r>
      <w:r>
        <w:rPr>
          <w:rFonts w:eastAsia="Arial" w:cs="Arial" w:ascii="Arial" w:hAnsi="Arial"/>
          <w:sz w:val="24"/>
          <w:szCs w:val="24"/>
        </w:rPr>
        <w:t xml:space="preserve">, </w:t>
      </w:r>
      <w:r>
        <w:rPr>
          <w:rFonts w:eastAsia="Arial" w:cs="Arial" w:ascii="Arial" w:hAnsi="Arial"/>
          <w:i/>
          <w:sz w:val="24"/>
          <w:szCs w:val="24"/>
        </w:rPr>
        <w:t>318</w:t>
      </w:r>
      <w:r>
        <w:rPr>
          <w:rFonts w:eastAsia="Arial" w:cs="Arial" w:ascii="Arial" w:hAnsi="Arial"/>
          <w:sz w:val="24"/>
          <w:szCs w:val="24"/>
        </w:rPr>
        <w:t>, 812–814. doi:</w:t>
      </w:r>
      <w:hyperlink r:id="rId42">
        <w:r>
          <w:rPr>
            <w:rStyle w:val="InternetLink"/>
            <w:rFonts w:eastAsia="Arial" w:cs="Arial" w:ascii="Arial" w:hAnsi="Arial"/>
            <w:color w:val="0E35B3"/>
            <w:sz w:val="24"/>
            <w:szCs w:val="24"/>
          </w:rPr>
          <w:t>10.1126/science.1148526</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Restif, O. &amp; Koella, J. C. (2004). Concurrent evolution of resistance and tolerance to pathogens. </w:t>
      </w:r>
      <w:r>
        <w:rPr>
          <w:rFonts w:eastAsia="Arial" w:cs="Arial" w:ascii="Arial" w:hAnsi="Arial"/>
          <w:i/>
          <w:sz w:val="24"/>
          <w:szCs w:val="24"/>
        </w:rPr>
        <w:t>The American Naturalist</w:t>
      </w:r>
      <w:r>
        <w:rPr>
          <w:rFonts w:eastAsia="Arial" w:cs="Arial" w:ascii="Arial" w:hAnsi="Arial"/>
          <w:sz w:val="24"/>
          <w:szCs w:val="24"/>
        </w:rPr>
        <w:t>,</w:t>
      </w:r>
      <w:r>
        <w:rPr>
          <w:rFonts w:eastAsia="Arial" w:cs="Arial" w:ascii="Arial" w:hAnsi="Arial"/>
          <w:i/>
          <w:sz w:val="24"/>
          <w:szCs w:val="24"/>
        </w:rPr>
        <w:t xml:space="preserve"> 164</w:t>
      </w:r>
      <w:r>
        <w:rPr>
          <w:rFonts w:eastAsia="Arial" w:cs="Arial" w:ascii="Arial" w:hAnsi="Arial"/>
          <w:sz w:val="24"/>
          <w:szCs w:val="24"/>
        </w:rPr>
        <w:t>, E90–E102. Doi:</w:t>
      </w:r>
      <w:hyperlink r:id="rId43">
        <w:r>
          <w:rPr>
            <w:rStyle w:val="InternetLink"/>
            <w:rFonts w:eastAsia="Arial" w:cs="Arial" w:ascii="Arial" w:hAnsi="Arial"/>
            <w:color w:val="0E35B3"/>
            <w:sz w:val="24"/>
            <w:szCs w:val="24"/>
          </w:rPr>
          <w:t>10.1086/423713</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Rose, M. E., Hesketh, P. &amp; Wakelin, D. (1992). Immune control of murine coccidiosis: CD4+ and CD8+ T  lymphocytes  contribute  differentially  in  resistance  to  primary  and  secondary  infections. </w:t>
      </w:r>
      <w:r>
        <w:rPr>
          <w:rFonts w:eastAsia="Arial" w:cs="Arial" w:ascii="Arial" w:hAnsi="Arial"/>
          <w:i/>
          <w:sz w:val="24"/>
          <w:szCs w:val="24"/>
        </w:rPr>
        <w:t>Parasitology</w:t>
      </w:r>
      <w:r>
        <w:rPr>
          <w:rFonts w:eastAsia="Arial" w:cs="Arial" w:ascii="Arial" w:hAnsi="Arial"/>
          <w:sz w:val="24"/>
          <w:szCs w:val="24"/>
        </w:rPr>
        <w:t>,</w:t>
      </w:r>
      <w:r>
        <w:rPr>
          <w:rFonts w:eastAsia="Arial" w:cs="Arial" w:ascii="Arial" w:hAnsi="Arial"/>
          <w:i/>
          <w:sz w:val="24"/>
          <w:szCs w:val="24"/>
        </w:rPr>
        <w:t xml:space="preserve"> 105</w:t>
      </w:r>
      <w:r>
        <w:rPr>
          <w:rFonts w:eastAsia="Arial" w:cs="Arial" w:ascii="Arial" w:hAnsi="Arial"/>
          <w:sz w:val="24"/>
          <w:szCs w:val="24"/>
        </w:rPr>
        <w:t>, 349–354. doi:</w:t>
      </w:r>
      <w:hyperlink r:id="rId44">
        <w:r>
          <w:rPr>
            <w:rStyle w:val="InternetLink"/>
            <w:rFonts w:eastAsia="Arial" w:cs="Arial" w:ascii="Arial" w:hAnsi="Arial"/>
            <w:color w:val="0E35B3"/>
            <w:sz w:val="24"/>
            <w:szCs w:val="24"/>
          </w:rPr>
          <w:t>10.1017/S0031182000074515</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Roy, B. A. &amp; Kirchner, J. W. (2000). Evolutionary dynamics of pathogen resistance and tolerance. </w:t>
      </w:r>
      <w:r>
        <w:rPr>
          <w:rFonts w:eastAsia="Arial" w:cs="Arial" w:ascii="Arial" w:hAnsi="Arial"/>
          <w:i/>
          <w:sz w:val="24"/>
          <w:szCs w:val="24"/>
        </w:rPr>
        <w:t>Evolution</w:t>
      </w:r>
      <w:r>
        <w:rPr>
          <w:rFonts w:eastAsia="Arial" w:cs="Arial" w:ascii="Arial" w:hAnsi="Arial"/>
          <w:sz w:val="24"/>
          <w:szCs w:val="24"/>
        </w:rPr>
        <w:t>,</w:t>
      </w:r>
      <w:r>
        <w:rPr>
          <w:rFonts w:eastAsia="Arial" w:cs="Arial" w:ascii="Arial" w:hAnsi="Arial"/>
          <w:i/>
          <w:sz w:val="24"/>
          <w:szCs w:val="24"/>
        </w:rPr>
        <w:t xml:space="preserve"> 54</w:t>
      </w:r>
      <w:r>
        <w:rPr>
          <w:rFonts w:eastAsia="Arial" w:cs="Arial" w:ascii="Arial" w:hAnsi="Arial"/>
          <w:sz w:val="24"/>
          <w:szCs w:val="24"/>
        </w:rPr>
        <w:t>, 51–63. doi:</w:t>
      </w:r>
      <w:hyperlink r:id="rId45">
        <w:r>
          <w:rPr>
            <w:rStyle w:val="InternetLink"/>
            <w:rFonts w:eastAsia="Arial" w:cs="Arial" w:ascii="Arial" w:hAnsi="Arial"/>
            <w:color w:val="0E35B3"/>
            <w:sz w:val="24"/>
            <w:szCs w:val="24"/>
          </w:rPr>
          <w:t>10.1111/j.0014-3820.2000.tb00007.x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Schito, M. L., Barta, J. R. &amp; Chobotar, B. (1996). Comparison of four murine </w:t>
      </w:r>
      <w:r>
        <w:rPr>
          <w:rFonts w:eastAsia="Arial" w:cs="Arial" w:ascii="Arial" w:hAnsi="Arial"/>
          <w:i/>
          <w:sz w:val="24"/>
          <w:szCs w:val="24"/>
        </w:rPr>
        <w:t>Eimeria</w:t>
      </w:r>
      <w:r>
        <w:rPr>
          <w:rFonts w:eastAsia="Arial" w:cs="Arial" w:ascii="Arial" w:hAnsi="Arial"/>
          <w:sz w:val="24"/>
          <w:szCs w:val="24"/>
        </w:rPr>
        <w:t xml:space="preserve"> species in immunocompetent  and  immunodeficient  mice.  </w:t>
      </w:r>
      <w:r>
        <w:rPr>
          <w:rFonts w:eastAsia="Arial" w:cs="Arial" w:ascii="Arial" w:hAnsi="Arial"/>
          <w:i/>
          <w:sz w:val="24"/>
          <w:szCs w:val="24"/>
        </w:rPr>
        <w:t>The  Journal  of  Parasitology</w:t>
      </w:r>
      <w:r>
        <w:rPr>
          <w:rFonts w:eastAsia="Arial" w:cs="Arial" w:ascii="Arial" w:hAnsi="Arial"/>
          <w:sz w:val="24"/>
          <w:szCs w:val="24"/>
        </w:rPr>
        <w:t xml:space="preserve">,  </w:t>
      </w:r>
      <w:r>
        <w:rPr>
          <w:rFonts w:eastAsia="Arial" w:cs="Arial" w:ascii="Arial" w:hAnsi="Arial"/>
          <w:i/>
          <w:sz w:val="24"/>
          <w:szCs w:val="24"/>
        </w:rPr>
        <w:t>82</w:t>
      </w:r>
      <w:r>
        <w:rPr>
          <w:rFonts w:eastAsia="Arial" w:cs="Arial" w:ascii="Arial" w:hAnsi="Arial"/>
          <w:sz w:val="24"/>
          <w:szCs w:val="24"/>
        </w:rPr>
        <w:t>,  255–262. doi:</w:t>
      </w:r>
      <w:hyperlink r:id="rId46">
        <w:r>
          <w:rPr>
            <w:rStyle w:val="InternetLink"/>
            <w:rFonts w:eastAsia="Arial" w:cs="Arial" w:ascii="Arial" w:hAnsi="Arial"/>
            <w:color w:val="0E35B3"/>
            <w:sz w:val="24"/>
            <w:szCs w:val="24"/>
          </w:rPr>
          <w:t>10.2307/3284157</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Schmid-Hempel, P. (2013). </w:t>
      </w:r>
      <w:r>
        <w:rPr>
          <w:rFonts w:eastAsia="Arial" w:cs="Arial" w:ascii="Arial" w:hAnsi="Arial"/>
          <w:i/>
          <w:sz w:val="24"/>
          <w:szCs w:val="24"/>
        </w:rPr>
        <w:t>Evolutionary parasitology: The integrated study of infections, immunology, ecology, and genetics</w:t>
      </w:r>
      <w:r>
        <w:rPr>
          <w:rFonts w:eastAsia="Arial" w:cs="Arial" w:ascii="Arial" w:hAnsi="Arial"/>
          <w:sz w:val="24"/>
          <w:szCs w:val="24"/>
        </w:rPr>
        <w:t>. Oxford University Press. doi:</w:t>
      </w:r>
      <w:hyperlink r:id="rId47">
        <w:r>
          <w:rPr>
            <w:rStyle w:val="InternetLink"/>
            <w:rFonts w:eastAsia="Arial" w:cs="Arial" w:ascii="Arial" w:hAnsi="Arial"/>
            <w:color w:val="0E35B3"/>
            <w:sz w:val="24"/>
            <w:szCs w:val="24"/>
          </w:rPr>
          <w:t>10.1093/acprof:oso/9780199229482.001.</w:t>
        </w:r>
      </w:hyperlink>
      <w:r>
        <w:rPr>
          <w:rFonts w:eastAsia="Arial" w:cs="Arial" w:ascii="Arial" w:hAnsi="Arial"/>
          <w:color w:val="0E35B3"/>
          <w:sz w:val="24"/>
          <w:szCs w:val="24"/>
        </w:rPr>
        <w:t>0</w:t>
      </w:r>
      <w:hyperlink r:id="rId48">
        <w:r>
          <w:rPr>
            <w:rStyle w:val="InternetLink"/>
            <w:rFonts w:eastAsia="Arial" w:cs="Arial" w:ascii="Arial" w:hAnsi="Arial"/>
            <w:color w:val="0E35B3"/>
            <w:sz w:val="24"/>
            <w:szCs w:val="24"/>
          </w:rPr>
          <w:t>001</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Shaw, D. J. &amp; Dobson, A. P. (1995). Patterns of macroparasite abundance and aggregation in wildlife</w:t>
      </w:r>
      <w:r>
        <w:rPr>
          <w:rFonts w:eastAsia="Times New Roman" w:cs="Times New Roman" w:ascii="Arial" w:hAnsi="Arial"/>
          <w:sz w:val="24"/>
          <w:szCs w:val="24"/>
        </w:rPr>
        <w:t xml:space="preserve"> </w:t>
      </w:r>
      <w:r>
        <w:rPr>
          <w:rFonts w:eastAsia="Arial" w:cs="Arial" w:ascii="Arial" w:hAnsi="Arial"/>
          <w:sz w:val="24"/>
          <w:szCs w:val="24"/>
        </w:rPr>
        <w:t>populations:</w:t>
      </w:r>
      <w:r>
        <w:rPr>
          <w:rFonts w:eastAsia="Times New Roman" w:cs="Times New Roman" w:ascii="Arial" w:hAnsi="Arial"/>
          <w:sz w:val="24"/>
          <w:szCs w:val="24"/>
        </w:rPr>
        <w:t xml:space="preserve"> </w:t>
      </w:r>
      <w:r>
        <w:rPr>
          <w:rFonts w:eastAsia="Arial" w:cs="Arial" w:ascii="Arial" w:hAnsi="Arial"/>
          <w:sz w:val="24"/>
          <w:szCs w:val="24"/>
        </w:rPr>
        <w:t>A</w:t>
      </w:r>
      <w:r>
        <w:rPr>
          <w:rFonts w:eastAsia="Times New Roman" w:cs="Times New Roman" w:ascii="Arial" w:hAnsi="Arial"/>
          <w:sz w:val="24"/>
          <w:szCs w:val="24"/>
        </w:rPr>
        <w:t xml:space="preserve"> </w:t>
      </w:r>
      <w:r>
        <w:rPr>
          <w:rFonts w:eastAsia="Arial" w:cs="Arial" w:ascii="Arial" w:hAnsi="Arial"/>
          <w:sz w:val="24"/>
          <w:szCs w:val="24"/>
        </w:rPr>
        <w:t>quantitative</w:t>
      </w:r>
      <w:r>
        <w:rPr>
          <w:rFonts w:eastAsia="Times New Roman" w:cs="Times New Roman" w:ascii="Arial" w:hAnsi="Arial"/>
          <w:sz w:val="24"/>
          <w:szCs w:val="24"/>
        </w:rPr>
        <w:t xml:space="preserve"> </w:t>
      </w:r>
      <w:r>
        <w:rPr>
          <w:rFonts w:eastAsia="Arial" w:cs="Arial" w:ascii="Arial" w:hAnsi="Arial"/>
          <w:sz w:val="24"/>
          <w:szCs w:val="24"/>
        </w:rPr>
        <w:t>review.</w:t>
      </w:r>
      <w:r>
        <w:rPr>
          <w:rFonts w:eastAsia="Times New Roman" w:cs="Times New Roman" w:ascii="Arial" w:hAnsi="Arial"/>
          <w:sz w:val="24"/>
          <w:szCs w:val="24"/>
        </w:rPr>
        <w:t xml:space="preserve"> </w:t>
      </w:r>
      <w:r>
        <w:rPr>
          <w:rFonts w:eastAsia="Arial" w:cs="Arial" w:ascii="Arial" w:hAnsi="Arial"/>
          <w:i/>
          <w:sz w:val="24"/>
          <w:szCs w:val="24"/>
        </w:rPr>
        <w:t>Parasitology</w:t>
      </w:r>
      <w:r>
        <w:rPr>
          <w:rFonts w:eastAsia="Arial" w:cs="Arial" w:ascii="Arial" w:hAnsi="Arial"/>
          <w:sz w:val="24"/>
          <w:szCs w:val="24"/>
        </w:rPr>
        <w:t xml:space="preserve">, </w:t>
      </w:r>
      <w:r>
        <w:rPr>
          <w:rFonts w:eastAsia="Arial" w:cs="Arial" w:ascii="Arial" w:hAnsi="Arial"/>
          <w:i/>
          <w:sz w:val="24"/>
          <w:szCs w:val="24"/>
        </w:rPr>
        <w:t>111</w:t>
      </w:r>
      <w:r>
        <w:rPr>
          <w:rFonts w:eastAsia="Arial" w:cs="Arial" w:ascii="Arial" w:hAnsi="Arial"/>
          <w:sz w:val="24"/>
          <w:szCs w:val="24"/>
        </w:rPr>
        <w:t>,</w:t>
      </w:r>
      <w:r>
        <w:rPr>
          <w:rFonts w:eastAsia="Times New Roman" w:cs="Times New Roman" w:ascii="Arial" w:hAnsi="Arial"/>
          <w:sz w:val="24"/>
          <w:szCs w:val="24"/>
        </w:rPr>
        <w:t xml:space="preserve"> </w:t>
      </w:r>
      <w:r>
        <w:rPr>
          <w:rFonts w:eastAsia="Arial" w:cs="Arial" w:ascii="Arial" w:hAnsi="Arial"/>
          <w:sz w:val="24"/>
          <w:szCs w:val="24"/>
        </w:rPr>
        <w:t>S111–S133. doi:</w:t>
      </w:r>
      <w:hyperlink r:id="rId49">
        <w:r>
          <w:rPr>
            <w:rStyle w:val="InternetLink"/>
            <w:rFonts w:eastAsia="Arial" w:cs="Arial" w:ascii="Arial" w:hAnsi="Arial"/>
            <w:color w:val="0E35B3"/>
            <w:sz w:val="24"/>
            <w:szCs w:val="24"/>
          </w:rPr>
          <w:t>10.1017/S0031182000075855</w:t>
        </w:r>
      </w:hyperlink>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Sheldon, B. C. &amp; Verhulst, S. (1996). Ecological immunology: Costly parasite defences and trade-offs in evolutionary ecology. </w:t>
      </w:r>
      <w:r>
        <w:rPr>
          <w:rFonts w:eastAsia="Arial" w:cs="Arial" w:ascii="Arial" w:hAnsi="Arial"/>
          <w:i/>
          <w:sz w:val="24"/>
          <w:szCs w:val="24"/>
        </w:rPr>
        <w:t>Trends in ecology &amp; evolution</w:t>
      </w:r>
      <w:r>
        <w:rPr>
          <w:rFonts w:eastAsia="Arial" w:cs="Arial" w:ascii="Arial" w:hAnsi="Arial"/>
          <w:sz w:val="24"/>
          <w:szCs w:val="24"/>
        </w:rPr>
        <w:t xml:space="preserve">, </w:t>
      </w:r>
      <w:r>
        <w:rPr>
          <w:rFonts w:eastAsia="Arial" w:cs="Arial" w:ascii="Arial" w:hAnsi="Arial"/>
          <w:i/>
          <w:sz w:val="24"/>
          <w:szCs w:val="24"/>
        </w:rPr>
        <w:t>11</w:t>
      </w:r>
      <w:r>
        <w:rPr>
          <w:rFonts w:eastAsia="Arial" w:cs="Arial" w:ascii="Arial" w:hAnsi="Arial"/>
          <w:sz w:val="24"/>
          <w:szCs w:val="24"/>
        </w:rPr>
        <w:t>, 317–321.</w:t>
      </w:r>
    </w:p>
    <w:p>
      <w:pPr>
        <w:pStyle w:val="Normal"/>
        <w:tabs>
          <w:tab w:val="clear" w:pos="720"/>
          <w:tab w:val="left" w:pos="566" w:leader="none"/>
        </w:tabs>
        <w:spacing w:lineRule="auto" w:line="360"/>
        <w:ind w:left="567" w:right="0" w:hanging="567"/>
        <w:jc w:val="both"/>
        <w:rPr>
          <w:rFonts w:ascii="Arial" w:hAnsi="Arial"/>
          <w:sz w:val="24"/>
          <w:szCs w:val="24"/>
        </w:rPr>
      </w:pPr>
      <w:r>
        <w:rPr>
          <w:rFonts w:eastAsia="Arial" w:cs="Arial" w:ascii="Arial" w:hAnsi="Arial"/>
          <w:sz w:val="24"/>
          <w:szCs w:val="24"/>
        </w:rPr>
        <w:t xml:space="preserve">Simms, E. L. (2000). Defining tolerance as a norm of reaction. </w:t>
      </w:r>
      <w:r>
        <w:rPr>
          <w:rFonts w:eastAsia="Arial" w:cs="Arial" w:ascii="Arial" w:hAnsi="Arial"/>
          <w:i/>
          <w:sz w:val="24"/>
          <w:szCs w:val="24"/>
        </w:rPr>
        <w:t>Evolutionary Ecology</w:t>
      </w:r>
      <w:r>
        <w:rPr>
          <w:rFonts w:eastAsia="Arial" w:cs="Arial" w:ascii="Arial" w:hAnsi="Arial"/>
          <w:sz w:val="24"/>
          <w:szCs w:val="24"/>
        </w:rPr>
        <w:t xml:space="preserve">, </w:t>
      </w:r>
      <w:r>
        <w:rPr>
          <w:rFonts w:eastAsia="Arial" w:cs="Arial" w:ascii="Arial" w:hAnsi="Arial"/>
          <w:i/>
          <w:sz w:val="24"/>
          <w:szCs w:val="24"/>
        </w:rPr>
        <w:t>14</w:t>
      </w:r>
      <w:r>
        <w:rPr>
          <w:rFonts w:eastAsia="Arial" w:cs="Arial" w:ascii="Arial" w:hAnsi="Arial"/>
          <w:sz w:val="24"/>
          <w:szCs w:val="24"/>
        </w:rPr>
        <w:t>, 563–570. doi:</w:t>
      </w:r>
      <w:r>
        <w:rPr>
          <w:rFonts w:eastAsia="Arial" w:cs="Arial" w:ascii="Arial" w:hAnsi="Arial"/>
          <w:color w:val="0E35B3"/>
          <w:sz w:val="24"/>
          <w:szCs w:val="24"/>
        </w:rPr>
        <w:t>10.1023/a:1010956716539</w:t>
      </w:r>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Smith, A. L. &amp; Hayday, A. C. (2000). Genetic Dissection of primary and secondary responses to a widespread  natural  pathogen  of  the  gut,  </w:t>
      </w:r>
      <w:r>
        <w:rPr>
          <w:rFonts w:eastAsia="Arial" w:cs="Arial" w:ascii="Arial" w:hAnsi="Arial"/>
          <w:i/>
          <w:sz w:val="24"/>
          <w:szCs w:val="24"/>
        </w:rPr>
        <w:t>Eimeria  vermiformis</w:t>
      </w:r>
      <w:r>
        <w:rPr>
          <w:rFonts w:eastAsia="Arial" w:cs="Arial" w:ascii="Arial" w:hAnsi="Arial"/>
          <w:sz w:val="24"/>
          <w:szCs w:val="24"/>
        </w:rPr>
        <w:t xml:space="preserve">.  </w:t>
      </w:r>
      <w:r>
        <w:rPr>
          <w:rFonts w:eastAsia="Arial" w:cs="Arial" w:ascii="Arial" w:hAnsi="Arial"/>
          <w:i/>
          <w:sz w:val="24"/>
          <w:szCs w:val="24"/>
        </w:rPr>
        <w:t>Infection  and  Immunity</w:t>
      </w:r>
      <w:r>
        <w:rPr>
          <w:rFonts w:eastAsia="Arial" w:cs="Arial" w:ascii="Arial" w:hAnsi="Arial"/>
          <w:sz w:val="24"/>
          <w:szCs w:val="24"/>
        </w:rPr>
        <w:t xml:space="preserve">,  </w:t>
      </w:r>
      <w:r>
        <w:rPr>
          <w:rFonts w:eastAsia="Arial" w:cs="Arial" w:ascii="Arial" w:hAnsi="Arial"/>
          <w:i/>
          <w:sz w:val="24"/>
          <w:szCs w:val="24"/>
        </w:rPr>
        <w:t>68</w:t>
      </w:r>
      <w:r>
        <w:rPr>
          <w:rFonts w:eastAsia="Arial" w:cs="Arial" w:ascii="Arial" w:hAnsi="Arial"/>
          <w:sz w:val="24"/>
          <w:szCs w:val="24"/>
        </w:rPr>
        <w:t>, 6273–6280. doi:</w:t>
      </w:r>
      <w:hyperlink r:id="rId50">
        <w:r>
          <w:rPr>
            <w:rStyle w:val="InternetLink"/>
            <w:rFonts w:eastAsia="Arial" w:cs="Arial" w:ascii="Arial" w:hAnsi="Arial"/>
            <w:color w:val="0E35B3"/>
            <w:sz w:val="24"/>
            <w:szCs w:val="24"/>
          </w:rPr>
          <w:t>10.1128/IAI.68.11.6273-6280.2000</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Soares, M. P., Teixeira, L. &amp; Moita, L. F. (2017). Disease tolerance and immunity in host protection against infection. </w:t>
      </w:r>
      <w:r>
        <w:rPr>
          <w:rFonts w:eastAsia="Arial" w:cs="Arial" w:ascii="Arial" w:hAnsi="Arial"/>
          <w:i/>
          <w:sz w:val="24"/>
          <w:szCs w:val="24"/>
        </w:rPr>
        <w:t>Nature Reviews Immunology</w:t>
      </w:r>
      <w:r>
        <w:rPr>
          <w:rFonts w:eastAsia="Arial" w:cs="Arial" w:ascii="Arial" w:hAnsi="Arial"/>
          <w:sz w:val="24"/>
          <w:szCs w:val="24"/>
        </w:rPr>
        <w:t xml:space="preserve">, </w:t>
      </w:r>
      <w:r>
        <w:rPr>
          <w:rFonts w:eastAsia="Arial" w:cs="Arial" w:ascii="Arial" w:hAnsi="Arial"/>
          <w:i/>
          <w:sz w:val="24"/>
          <w:szCs w:val="24"/>
        </w:rPr>
        <w:t>17</w:t>
      </w:r>
      <w:r>
        <w:rPr>
          <w:rFonts w:eastAsia="Arial" w:cs="Arial" w:ascii="Arial" w:hAnsi="Arial"/>
          <w:sz w:val="24"/>
          <w:szCs w:val="24"/>
        </w:rPr>
        <w:t>, 83–96. doi:</w:t>
      </w:r>
      <w:hyperlink r:id="rId51">
        <w:r>
          <w:rPr>
            <w:rStyle w:val="InternetLink"/>
            <w:rFonts w:eastAsia="Arial" w:cs="Arial" w:ascii="Arial" w:hAnsi="Arial"/>
            <w:color w:val="0E35B3"/>
            <w:sz w:val="24"/>
            <w:szCs w:val="24"/>
          </w:rPr>
          <w:t>10.1038/nri.2016.136</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Stange, J., Hepworth, M. R., Rausch, S., Zajic, L., Kühl, A. A., Uyttenhove, C., Renauld, J.-C., Hartmann, S. &amp; Lucius, R. (2012). IL-22 mediates host defense against an intestinal intracellular parasite in</w:t>
      </w:r>
      <w:r>
        <w:rPr>
          <w:rFonts w:eastAsia="Times New Roman" w:cs="Times New Roman" w:ascii="Arial" w:hAnsi="Arial"/>
          <w:sz w:val="24"/>
          <w:szCs w:val="24"/>
        </w:rPr>
        <w:t xml:space="preserve"> </w:t>
      </w:r>
      <w:r>
        <w:rPr>
          <w:rFonts w:eastAsia="Arial" w:cs="Arial" w:ascii="Arial" w:hAnsi="Arial"/>
          <w:sz w:val="24"/>
          <w:szCs w:val="24"/>
        </w:rPr>
        <w:t xml:space="preserve">the absence of IFN-γ at the cost of Th17-driven immunopathology. </w:t>
      </w:r>
      <w:r>
        <w:rPr>
          <w:rFonts w:eastAsia="Arial" w:cs="Arial" w:ascii="Arial" w:hAnsi="Arial"/>
          <w:i/>
          <w:sz w:val="24"/>
          <w:szCs w:val="24"/>
        </w:rPr>
        <w:t>Journal of Immunology</w:t>
      </w:r>
      <w:r>
        <w:rPr>
          <w:rFonts w:eastAsia="Arial" w:cs="Arial" w:ascii="Arial" w:hAnsi="Arial"/>
          <w:sz w:val="24"/>
          <w:szCs w:val="24"/>
        </w:rPr>
        <w:t xml:space="preserve">, </w:t>
      </w:r>
      <w:r>
        <w:rPr>
          <w:rFonts w:eastAsia="Arial" w:cs="Arial" w:ascii="Arial" w:hAnsi="Arial"/>
          <w:i/>
          <w:sz w:val="24"/>
          <w:szCs w:val="24"/>
        </w:rPr>
        <w:t>188</w:t>
      </w:r>
      <w:r>
        <w:rPr>
          <w:rFonts w:eastAsia="Arial" w:cs="Arial" w:ascii="Arial" w:hAnsi="Arial"/>
          <w:sz w:val="24"/>
          <w:szCs w:val="24"/>
        </w:rPr>
        <w:t>, 2410–2418. doi:</w:t>
      </w:r>
      <w:hyperlink r:id="rId52">
        <w:r>
          <w:rPr>
            <w:rStyle w:val="InternetLink"/>
            <w:rFonts w:eastAsia="Arial" w:cs="Arial" w:ascii="Arial" w:hAnsi="Arial"/>
            <w:color w:val="0E35B3"/>
            <w:sz w:val="24"/>
            <w:szCs w:val="24"/>
          </w:rPr>
          <w:t>10.4049/jimmunol.1102062</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Vale, P. F. &amp; Little, T. J. (2012). Fecundity compensation and tolerance to a sterilizing pathogen in daphnia. </w:t>
      </w:r>
      <w:r>
        <w:rPr>
          <w:rFonts w:eastAsia="Arial" w:cs="Arial" w:ascii="Arial" w:hAnsi="Arial"/>
          <w:i/>
          <w:sz w:val="24"/>
          <w:szCs w:val="24"/>
        </w:rPr>
        <w:t>Journal of Evolutionary Biology</w:t>
      </w:r>
      <w:r>
        <w:rPr>
          <w:rFonts w:eastAsia="Arial" w:cs="Arial" w:ascii="Arial" w:hAnsi="Arial"/>
          <w:sz w:val="24"/>
          <w:szCs w:val="24"/>
        </w:rPr>
        <w:t>,</w:t>
      </w:r>
      <w:r>
        <w:rPr>
          <w:rFonts w:eastAsia="Arial" w:cs="Arial" w:ascii="Arial" w:hAnsi="Arial"/>
          <w:i/>
          <w:sz w:val="24"/>
          <w:szCs w:val="24"/>
        </w:rPr>
        <w:t xml:space="preserve"> 25</w:t>
      </w:r>
      <w:r>
        <w:rPr>
          <w:rFonts w:eastAsia="Arial" w:cs="Arial" w:ascii="Arial" w:hAnsi="Arial"/>
          <w:sz w:val="24"/>
          <w:szCs w:val="24"/>
        </w:rPr>
        <w:t>, 1888–1896. doi:</w:t>
      </w:r>
      <w:hyperlink r:id="rId53">
        <w:r>
          <w:rPr>
            <w:rStyle w:val="InternetLink"/>
            <w:rFonts w:eastAsia="Arial" w:cs="Arial" w:ascii="Arial" w:hAnsi="Arial"/>
            <w:color w:val="0E35B3"/>
            <w:sz w:val="24"/>
            <w:szCs w:val="24"/>
          </w:rPr>
          <w:t>10.1111/j.1420-9101.2012.02579.x</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Venables, W. N. &amp; Ripley, B. D. (2002). </w:t>
      </w:r>
      <w:r>
        <w:rPr>
          <w:rFonts w:eastAsia="Arial" w:cs="Arial" w:ascii="Arial" w:hAnsi="Arial"/>
          <w:i/>
          <w:sz w:val="24"/>
          <w:szCs w:val="24"/>
        </w:rPr>
        <w:t>Modern Applied Statistics with S</w:t>
      </w:r>
      <w:r>
        <w:rPr>
          <w:rFonts w:eastAsia="Arial" w:cs="Arial" w:ascii="Arial" w:hAnsi="Arial"/>
          <w:sz w:val="24"/>
          <w:szCs w:val="24"/>
        </w:rPr>
        <w:t xml:space="preserve"> (4th ed.). New York, NY: Springer. doi:</w:t>
      </w:r>
      <w:hyperlink r:id="rId54">
        <w:r>
          <w:rPr>
            <w:rStyle w:val="InternetLink"/>
            <w:rFonts w:eastAsia="Arial" w:cs="Arial" w:ascii="Arial" w:hAnsi="Arial"/>
            <w:color w:val="0E35B3"/>
            <w:sz w:val="24"/>
            <w:szCs w:val="24"/>
          </w:rPr>
          <w:t>10.1007/978-0-387-21706-2</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Wickham, H. (2016). </w:t>
      </w:r>
      <w:r>
        <w:rPr>
          <w:rFonts w:eastAsia="Arial" w:cs="Arial" w:ascii="Arial" w:hAnsi="Arial"/>
          <w:i/>
          <w:sz w:val="24"/>
          <w:szCs w:val="24"/>
        </w:rPr>
        <w:t>Ggplot2: Elegant graphics for data analysis (second edition)</w:t>
      </w:r>
      <w:r>
        <w:rPr>
          <w:rFonts w:eastAsia="Arial" w:cs="Arial" w:ascii="Arial" w:hAnsi="Arial"/>
          <w:sz w:val="24"/>
          <w:szCs w:val="24"/>
        </w:rPr>
        <w:t>. New York, NY: Springer. doi:</w:t>
      </w:r>
      <w:hyperlink r:id="rId55">
        <w:r>
          <w:rPr>
            <w:rStyle w:val="InternetLink"/>
            <w:rFonts w:eastAsia="Arial" w:cs="Arial" w:ascii="Arial" w:hAnsi="Arial"/>
            <w:color w:val="0E35B3"/>
            <w:sz w:val="24"/>
            <w:szCs w:val="24"/>
          </w:rPr>
          <w:t>10.1007/978-0-387-98141-3</w:t>
        </w:r>
      </w:hyperlink>
    </w:p>
    <w:p>
      <w:pPr>
        <w:pStyle w:val="Normal"/>
        <w:tabs>
          <w:tab w:val="clear" w:pos="720"/>
          <w:tab w:val="left" w:pos="566" w:leader="none"/>
        </w:tabs>
        <w:spacing w:lineRule="auto" w:line="360"/>
        <w:ind w:left="567" w:right="0" w:hanging="567"/>
        <w:jc w:val="both"/>
        <w:rPr/>
      </w:pPr>
      <w:r>
        <w:rPr>
          <w:rFonts w:eastAsia="Arial" w:cs="Arial" w:ascii="Arial" w:hAnsi="Arial"/>
          <w:sz w:val="24"/>
          <w:szCs w:val="24"/>
        </w:rPr>
        <w:t xml:space="preserve">Woolhouse, M. E. J., Webster, J. P., Domingo, E., Charlesworth, B. &amp; Levin, B. R. (2002). Biological and biomedical implications of the co-evolution of pathogens and their hosts. </w:t>
      </w:r>
      <w:r>
        <w:rPr>
          <w:rFonts w:eastAsia="Arial" w:cs="Arial" w:ascii="Arial" w:hAnsi="Arial"/>
          <w:i/>
          <w:sz w:val="24"/>
          <w:szCs w:val="24"/>
        </w:rPr>
        <w:t>Nature Genetics</w:t>
      </w:r>
      <w:r>
        <w:rPr>
          <w:rFonts w:eastAsia="Arial" w:cs="Arial" w:ascii="Arial" w:hAnsi="Arial"/>
          <w:sz w:val="24"/>
          <w:szCs w:val="24"/>
        </w:rPr>
        <w:t xml:space="preserve">, </w:t>
      </w:r>
      <w:r>
        <w:rPr>
          <w:rFonts w:eastAsia="Arial" w:cs="Arial" w:ascii="Arial" w:hAnsi="Arial"/>
          <w:i/>
          <w:sz w:val="24"/>
          <w:szCs w:val="24"/>
        </w:rPr>
        <w:t>32</w:t>
      </w:r>
      <w:r>
        <w:rPr>
          <w:rFonts w:eastAsia="Arial" w:cs="Arial" w:ascii="Arial" w:hAnsi="Arial"/>
          <w:sz w:val="24"/>
          <w:szCs w:val="24"/>
        </w:rPr>
        <w:t>, 569–577. doi:</w:t>
      </w:r>
      <w:hyperlink r:id="rId56">
        <w:r>
          <w:rPr>
            <w:rStyle w:val="InternetLink"/>
            <w:rFonts w:eastAsia="Arial" w:cs="Arial" w:ascii="Arial" w:hAnsi="Arial"/>
            <w:color w:val="0E35B3"/>
            <w:sz w:val="24"/>
            <w:szCs w:val="24"/>
          </w:rPr>
          <w:t>10.1038/ng1202-569</w:t>
        </w:r>
      </w:hyperlink>
    </w:p>
    <w:p>
      <w:pPr>
        <w:pStyle w:val="Normal"/>
        <w:tabs>
          <w:tab w:val="clear" w:pos="720"/>
          <w:tab w:val="left" w:pos="566" w:leader="none"/>
        </w:tabs>
        <w:spacing w:lineRule="auto" w:line="360" w:before="0" w:after="200"/>
        <w:ind w:left="567" w:right="0" w:hanging="567"/>
        <w:jc w:val="both"/>
        <w:rPr/>
      </w:pPr>
      <w:r>
        <w:rPr>
          <w:rFonts w:eastAsia="Arial" w:cs="Arial" w:ascii="Arial" w:hAnsi="Arial"/>
          <w:sz w:val="24"/>
          <w:szCs w:val="24"/>
        </w:rPr>
        <w:t xml:space="preserve">Zeileis, A., Kleiber, C. &amp; Jackman, S. (2008). Regression models for count data in R. </w:t>
      </w:r>
      <w:r>
        <w:rPr>
          <w:rFonts w:eastAsia="Arial" w:cs="Arial" w:ascii="Arial" w:hAnsi="Arial"/>
          <w:i/>
          <w:sz w:val="24"/>
          <w:szCs w:val="24"/>
        </w:rPr>
        <w:t xml:space="preserve">Journal of Statistical </w:t>
      </w:r>
      <w:r>
        <w:rPr>
          <w:rFonts w:eastAsia="Arial" w:cs="Arial" w:ascii="Arial" w:hAnsi="Arial"/>
          <w:b w:val="false"/>
          <w:bCs w:val="false"/>
          <w:i/>
          <w:color w:val="auto"/>
          <w:sz w:val="24"/>
          <w:szCs w:val="24"/>
        </w:rPr>
        <w:t>Software</w:t>
      </w:r>
      <w:r>
        <w:rPr>
          <w:rFonts w:eastAsia="Arial" w:cs="Arial" w:ascii="Arial" w:hAnsi="Arial"/>
          <w:b w:val="false"/>
          <w:bCs w:val="false"/>
          <w:color w:val="auto"/>
          <w:sz w:val="24"/>
          <w:szCs w:val="24"/>
        </w:rPr>
        <w:t>,</w:t>
      </w:r>
      <w:r>
        <w:rPr>
          <w:rFonts w:eastAsia="Arial" w:cs="Arial" w:ascii="Arial" w:hAnsi="Arial"/>
          <w:b w:val="false"/>
          <w:bCs w:val="false"/>
          <w:i/>
          <w:color w:val="auto"/>
          <w:sz w:val="24"/>
          <w:szCs w:val="24"/>
        </w:rPr>
        <w:t xml:space="preserve"> 27</w:t>
      </w:r>
      <w:r>
        <w:rPr>
          <w:rFonts w:eastAsia="Arial" w:cs="Arial" w:ascii="Arial" w:hAnsi="Arial"/>
          <w:b w:val="false"/>
          <w:bCs w:val="false"/>
          <w:color w:val="auto"/>
          <w:sz w:val="24"/>
          <w:szCs w:val="24"/>
        </w:rPr>
        <w:t>. doi:</w:t>
      </w:r>
      <w:hyperlink r:id="rId57">
        <w:r>
          <w:rPr>
            <w:rStyle w:val="InternetLink"/>
            <w:rFonts w:eastAsia="Arial" w:cs="Arial" w:ascii="Arial" w:hAnsi="Arial"/>
            <w:b w:val="false"/>
            <w:bCs w:val="false"/>
            <w:color w:val="0E35B3"/>
            <w:sz w:val="24"/>
            <w:szCs w:val="24"/>
          </w:rPr>
          <w:t>10.18637/jss.v027.i08</w:t>
        </w:r>
      </w:hyperlink>
    </w:p>
    <w:sectPr>
      <w:type w:val="nextPage"/>
      <w:pgSz w:w="11906" w:h="16838"/>
      <w:pgMar w:left="1304" w:right="1304" w:header="0" w:top="1417" w:footer="0" w:bottom="1417"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8T18:02:57Z" w:initials="">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Remove 4B?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4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LineNumbering">
    <w:name w:val="Line Numbering"/>
    <w:rPr/>
  </w:style>
  <w:style w:type="character" w:styleId="ListLabel2">
    <w:name w:val="ListLabel 2"/>
    <w:qFormat/>
    <w:rPr>
      <w:rFonts w:ascii="Arial" w:hAnsi="Arial"/>
      <w:color w:val="auto"/>
      <w:sz w:val="24"/>
      <w:szCs w:val="24"/>
    </w:rPr>
  </w:style>
  <w:style w:type="character" w:styleId="ListLabel3">
    <w:name w:val="ListLabel 3"/>
    <w:qFormat/>
    <w:rPr>
      <w:rFonts w:ascii="Arial" w:hAnsi="Arial"/>
      <w:color w:val="auto"/>
      <w:sz w:val="24"/>
      <w:szCs w:val="24"/>
    </w:rPr>
  </w:style>
  <w:style w:type="character" w:styleId="ListLabel4">
    <w:name w:val="ListLabel 4"/>
    <w:qFormat/>
    <w:rPr>
      <w:rFonts w:ascii="Arial" w:hAnsi="Arial"/>
      <w:color w:val="auto"/>
      <w:sz w:val="24"/>
      <w:szCs w:val="24"/>
    </w:rPr>
  </w:style>
  <w:style w:type="character" w:styleId="ListLabel123">
    <w:name w:val="ListLabel 123"/>
    <w:qFormat/>
    <w:rPr>
      <w:color w:val="0E35B3"/>
      <w:sz w:val="20"/>
    </w:rPr>
  </w:style>
  <w:style w:type="character" w:styleId="ListLabel73">
    <w:name w:val="ListLabel 73"/>
    <w:qFormat/>
    <w:rPr>
      <w:rFonts w:eastAsia="Arial" w:cs="Arial"/>
      <w:spacing w:val="-1"/>
      <w:w w:val="99"/>
      <w:sz w:val="20"/>
      <w:szCs w:val="22"/>
      <w:lang w:val="en-US" w:eastAsia="en-US" w:bidi="ar-SA"/>
    </w:rPr>
  </w:style>
  <w:style w:type="character" w:styleId="ListLabel74">
    <w:name w:val="ListLabel 74"/>
    <w:qFormat/>
    <w:rPr>
      <w:lang w:val="en-US" w:eastAsia="en-US" w:bidi="ar-SA"/>
    </w:rPr>
  </w:style>
  <w:style w:type="character" w:styleId="ListLabel75">
    <w:name w:val="ListLabel 75"/>
    <w:qFormat/>
    <w:rPr>
      <w:lang w:val="en-US" w:eastAsia="en-US" w:bidi="ar-SA"/>
    </w:rPr>
  </w:style>
  <w:style w:type="character" w:styleId="ListLabel76">
    <w:name w:val="ListLabel 76"/>
    <w:qFormat/>
    <w:rPr>
      <w:lang w:val="en-US" w:eastAsia="en-US" w:bidi="ar-SA"/>
    </w:rPr>
  </w:style>
  <w:style w:type="character" w:styleId="ListLabel77">
    <w:name w:val="ListLabel 77"/>
    <w:qFormat/>
    <w:rPr>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126">
    <w:name w:val="ListLabel 126"/>
    <w:qFormat/>
    <w:rPr>
      <w:sz w:val="22"/>
    </w:rPr>
  </w:style>
  <w:style w:type="character" w:styleId="ListLabel64">
    <w:name w:val="ListLabel 64"/>
    <w:qFormat/>
    <w:rPr>
      <w:rFonts w:eastAsia="Arial" w:cs="Arial"/>
      <w:spacing w:val="-1"/>
      <w:w w:val="99"/>
      <w:sz w:val="20"/>
      <w:szCs w:val="22"/>
      <w:lang w:val="en-US" w:eastAsia="en-US" w:bidi="ar-SA"/>
    </w:rPr>
  </w:style>
  <w:style w:type="character" w:styleId="ListLabel65">
    <w:name w:val="ListLabel 65"/>
    <w:qFormat/>
    <w:rPr>
      <w:lang w:val="en-US" w:eastAsia="en-US" w:bidi="ar-SA"/>
    </w:rPr>
  </w:style>
  <w:style w:type="character" w:styleId="ListLabel66">
    <w:name w:val="ListLabel 66"/>
    <w:qFormat/>
    <w:rPr>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127">
    <w:name w:val="ListLabel 127"/>
    <w:qFormat/>
    <w:rPr>
      <w:sz w:val="20"/>
    </w:rPr>
  </w:style>
  <w:style w:type="character" w:styleId="ListLabel55">
    <w:name w:val="ListLabel 55"/>
    <w:qFormat/>
    <w:rPr>
      <w:rFonts w:eastAsia="Arial" w:cs="Arial"/>
      <w:spacing w:val="-1"/>
      <w:w w:val="99"/>
      <w:sz w:val="20"/>
      <w:szCs w:val="22"/>
      <w:lang w:val="en-US" w:eastAsia="en-US" w:bidi="ar-SA"/>
    </w:rPr>
  </w:style>
  <w:style w:type="character" w:styleId="ListLabel56">
    <w:name w:val="ListLabel 56"/>
    <w:qFormat/>
    <w:rPr>
      <w:lang w:val="en-US" w:eastAsia="en-US" w:bidi="ar-SA"/>
    </w:rPr>
  </w:style>
  <w:style w:type="character" w:styleId="ListLabel57">
    <w:name w:val="ListLabel 57"/>
    <w:qFormat/>
    <w:rPr>
      <w:lang w:val="en-US" w:eastAsia="en-US" w:bidi="ar-SA"/>
    </w:rPr>
  </w:style>
  <w:style w:type="character" w:styleId="ListLabel58">
    <w:name w:val="ListLabel 58"/>
    <w:qFormat/>
    <w:rPr>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Footer">
    <w:name w:val="Footer"/>
    <w:basedOn w:val="Normal"/>
    <w:pPr>
      <w:suppressLineNumbers/>
      <w:tabs>
        <w:tab w:val="clear" w:pos="720"/>
        <w:tab w:val="center" w:pos="4536" w:leader="none"/>
        <w:tab w:val="right" w:pos="9072" w:leader="none"/>
      </w:tabs>
    </w:pPr>
    <w:rPr/>
  </w:style>
  <w:style w:type="paragraph" w:styleId="Header">
    <w:name w:val="Header"/>
    <w:basedOn w:val="Normal"/>
    <w:pPr>
      <w:suppressLineNumbers/>
      <w:tabs>
        <w:tab w:val="clear" w:pos="720"/>
        <w:tab w:val="center" w:pos="4536" w:leader="none"/>
        <w:tab w:val="right" w:pos="9072" w:leader="none"/>
      </w:tabs>
    </w:pPr>
    <w:rPr/>
  </w:style>
  <w:style w:type="paragraph" w:styleId="ListParagraph">
    <w:name w:val="List Paragraph"/>
    <w:basedOn w:val="Normal"/>
    <w:qFormat/>
    <w:pPr>
      <w:spacing w:before="92" w:after="0"/>
      <w:ind w:left="677" w:right="0" w:hanging="564"/>
    </w:pPr>
    <w:rPr>
      <w:rFonts w:ascii="Arial" w:hAnsi="Arial" w:eastAsia="Arial" w:cs="Arial"/>
      <w:lang w:val="en-US" w:eastAsia="en-US" w:bidi="ar-SA"/>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ice.cam.balard@gmail.com"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png"/><Relationship Id="rId12" Type="http://schemas.openxmlformats.org/officeDocument/2006/relationships/hyperlink" Target="https://dx.doi.org/10.1101/611277" TargetMode="External"/><Relationship Id="rId13" Type="http://schemas.openxmlformats.org/officeDocument/2006/relationships/hyperlink" Target="https://dx.doi.org/10.1111/j.1550-7408.1975.tb05177.x" TargetMode="External"/><Relationship Id="rId14" Type="http://schemas.openxmlformats.org/officeDocument/2006/relationships/hyperlink" Target="https://dx.doi.org/10.1146/annurev-immunol-020711-075030" TargetMode="External"/><Relationship Id="rId15" Type="http://schemas.openxmlformats.org/officeDocument/2006/relationships/hyperlink" Target="https://dx.doi.org/doi.org/10.1016/j.tree.2019.01.011" TargetMode="External"/><Relationship Id="rId16" Type="http://schemas.openxmlformats.org/officeDocument/2006/relationships/hyperlink" Target="https://dx.doi.org/10.1111/j.1558-5646.2012.01633.x" TargetMode="External"/><Relationship Id="rId17" Type="http://schemas.openxmlformats.org/officeDocument/2006/relationships/hyperlink" Target="https://dx.doi.org/10.1111/jeb.13578" TargetMode="External"/><Relationship Id="rId18" Type="http://schemas.openxmlformats.org/officeDocument/2006/relationships/hyperlink" Target="https://dx.doi.org/10.1111/j.1365-2435.2010.01742.x" TargetMode="External"/><Relationship Id="rId19" Type="http://schemas.openxmlformats.org/officeDocument/2006/relationships/hyperlink" Target="https://dx.doi.org/10.1098/rstb.2008.0160" TargetMode="External"/><Relationship Id="rId20" Type="http://schemas.openxmlformats.org/officeDocument/2006/relationships/hyperlink" Target="https://dx.doi.org/10.1111/j.0030-1299.2004.12777.x" TargetMode="External"/><Relationship Id="rId21" Type="http://schemas.openxmlformats.org/officeDocument/2006/relationships/hyperlink" Target="https://dx.doi.org/10.1111/j.1558-5646.2010.01035.x" TargetMode="External"/><Relationship Id="rId22" Type="http://schemas.openxmlformats.org/officeDocument/2006/relationships/hyperlink" Target="https://dx.doi.org/10.1016/B978-0-12-407705-8.00002-1" TargetMode="External"/><Relationship Id="rId23" Type="http://schemas.openxmlformats.org/officeDocument/2006/relationships/hyperlink" Target="https://dx.doi.org/10.1017/S0031182019000192" TargetMode="External"/><Relationship Id="rId24" Type="http://schemas.openxmlformats.org/officeDocument/2006/relationships/hyperlink" Target="https://dx.doi.org/10.18637/jss.v064.i04" TargetMode="External"/><Relationship Id="rId25" Type="http://schemas.openxmlformats.org/officeDocument/2006/relationships/hyperlink" Target="https://dx.doi.org/10.1186/s12864-017-4095-6" TargetMode="External"/><Relationship Id="rId26" Type="http://schemas.openxmlformats.org/officeDocument/2006/relationships/hyperlink" Target="https://dx.doi.org/10.1038/377517a0" TargetMode="External"/><Relationship Id="rId27" Type="http://schemas.openxmlformats.org/officeDocument/2006/relationships/hyperlink" Target="https://dx.doi.org/10.1098/rspb.2000.1100" TargetMode="External"/><Relationship Id="rId28" Type="http://schemas.openxmlformats.org/officeDocument/2006/relationships/hyperlink" Target="https://dx.doi.org/10.1146/annurev.ecolsys.36.102003.152622" TargetMode="External"/><Relationship Id="rId29" Type="http://schemas.openxmlformats.org/officeDocument/2006/relationships/hyperlink" Target="https://dx.doi.org/10.1007/BF00629179" TargetMode="External"/><Relationship Id="rId30" Type="http://schemas.openxmlformats.org/officeDocument/2006/relationships/hyperlink" Target="https://dx.doi.org/10.1016/j.ijppaw.2019.07.004" TargetMode="External"/><Relationship Id="rId31" Type="http://schemas.openxmlformats.org/officeDocument/2006/relationships/hyperlink" Target="https://dx.doi.org/10.1002/ece3.2645" TargetMode="External"/><Relationship Id="rId32" Type="http://schemas.openxmlformats.org/officeDocument/2006/relationships/hyperlink" Target="https://dx.doi.org/10.1016/j.zool.2016.05.011" TargetMode="External"/><Relationship Id="rId33" Type="http://schemas.openxmlformats.org/officeDocument/2006/relationships/hyperlink" Target="https://dx.doi.org/10.1098/rspb.2010.1479" TargetMode="External"/><Relationship Id="rId34" Type="http://schemas.openxmlformats.org/officeDocument/2006/relationships/hyperlink" Target="https://dx.doi.org/10.21105/joss.00772" TargetMode="External"/><Relationship Id="rId35" Type="http://schemas.openxmlformats.org/officeDocument/2006/relationships/hyperlink" Target="https://dx.doi.org/10.1101/2019.12.23.887471" TargetMode="External"/><Relationship Id="rId36" Type="http://schemas.openxmlformats.org/officeDocument/2006/relationships/hyperlink" Target="https://dx.doi.org/10.1002/ece3.5196" TargetMode="External"/><Relationship Id="rId37" Type="http://schemas.openxmlformats.org/officeDocument/2006/relationships/hyperlink" Target="https://dx.doi.org/10.1098/rspb.2013.2567" TargetMode="External"/><Relationship Id="rId38" Type="http://schemas.openxmlformats.org/officeDocument/2006/relationships/hyperlink" Target="https://dx.doi.org/10.1126/science.1214935" TargetMode="External"/><Relationship Id="rId39" Type="http://schemas.openxmlformats.org/officeDocument/2006/relationships/hyperlink" Target="https://dx.doi.org/10.1002/ecy.1948" TargetMode="External"/><Relationship Id="rId40" Type="http://schemas.openxmlformats.org/officeDocument/2006/relationships/hyperlink" Target="https://dx.doi.org/10.1093/jhered/esm083" TargetMode="External"/><Relationship Id="rId41" Type="http://schemas.openxmlformats.org/officeDocument/2006/relationships/hyperlink" Target="https://dx.doi.org/10.1098/rstb.2008.0184" TargetMode="External"/><Relationship Id="rId42" Type="http://schemas.openxmlformats.org/officeDocument/2006/relationships/hyperlink" Target="https://dx.doi.org/10.1126/science.1148526" TargetMode="External"/><Relationship Id="rId43" Type="http://schemas.openxmlformats.org/officeDocument/2006/relationships/hyperlink" Target="https://dx.doi.org/10.1086/423713" TargetMode="External"/><Relationship Id="rId44" Type="http://schemas.openxmlformats.org/officeDocument/2006/relationships/hyperlink" Target="https://dx.doi.org/10.1017/S0031182000074515" TargetMode="External"/><Relationship Id="rId45" Type="http://schemas.openxmlformats.org/officeDocument/2006/relationships/hyperlink" Target="https://dx.doi.org/10.1111/j.0014-3820.2000.tb00007.x" TargetMode="External"/><Relationship Id="rId46" Type="http://schemas.openxmlformats.org/officeDocument/2006/relationships/hyperlink" Target="https://dx.doi.org/10.2307/3284157" TargetMode="External"/><Relationship Id="rId47" Type="http://schemas.openxmlformats.org/officeDocument/2006/relationships/hyperlink" Target="https://dx.doi.org/10.1093/acprof:oso/9780199229482.001.0001" TargetMode="External"/><Relationship Id="rId48" Type="http://schemas.openxmlformats.org/officeDocument/2006/relationships/hyperlink" Target="https://dx.doi.org/10.1093/acprof:oso/9780199229482.001.0001" TargetMode="External"/><Relationship Id="rId49" Type="http://schemas.openxmlformats.org/officeDocument/2006/relationships/hyperlink" Target="https://dx.doi.org/10.1017/S0031182000075855" TargetMode="External"/><Relationship Id="rId50" Type="http://schemas.openxmlformats.org/officeDocument/2006/relationships/hyperlink" Target="https://dx.doi.org/10.1128/IAI.68.11.6273-6280.2000" TargetMode="External"/><Relationship Id="rId51" Type="http://schemas.openxmlformats.org/officeDocument/2006/relationships/hyperlink" Target="https://dx.doi.org/10.1038/nri.2016.136" TargetMode="External"/><Relationship Id="rId52" Type="http://schemas.openxmlformats.org/officeDocument/2006/relationships/hyperlink" Target="https://dx.doi.org/10.4049/jimmunol.1102062" TargetMode="External"/><Relationship Id="rId53" Type="http://schemas.openxmlformats.org/officeDocument/2006/relationships/hyperlink" Target="https://dx.doi.org/10.1111/j.1420-9101.2012.02579.x" TargetMode="External"/><Relationship Id="rId54" Type="http://schemas.openxmlformats.org/officeDocument/2006/relationships/hyperlink" Target="https://dx.doi.org/10.1007/978-0-387-21706-2" TargetMode="External"/><Relationship Id="rId55" Type="http://schemas.openxmlformats.org/officeDocument/2006/relationships/hyperlink" Target="https://dx.doi.org/10.1007/978-0-387-98141-3" TargetMode="External"/><Relationship Id="rId56" Type="http://schemas.openxmlformats.org/officeDocument/2006/relationships/hyperlink" Target="https://dx.doi.org/10.1038/ng1202-569" TargetMode="External"/><Relationship Id="rId57" Type="http://schemas.openxmlformats.org/officeDocument/2006/relationships/hyperlink" Target="https://dx.doi.org/10.18637/jss.v027.i08" TargetMode="External"/><Relationship Id="rId58" Type="http://schemas.openxmlformats.org/officeDocument/2006/relationships/comments" Target="comments.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1895</TotalTime>
  <Application>LibreOffice/6.1.5.2$Linux_X86_64 LibreOffice_project/10$Build-2</Application>
  <Pages>32</Pages>
  <Words>7220</Words>
  <Characters>41724</Characters>
  <CharactersWithSpaces>48874</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2020-08-12T10:39:23Z</dcterms:created>
  <dc:creator>Alice Balard; Víctor Hugo Jarquín-Díaz; Jenny Jost; Vivian Mittné; Francisca Böhning; Ľudovít Ďureje; Jaroslav Piálek; Emanuel Heitlinger</dc:creator>
  <dc:description/>
  <dc:language>en-US</dc:language>
  <cp:lastModifiedBy/>
  <dcterms:modified xsi:type="dcterms:W3CDTF">2020-09-22T14:43:41Z</dcterms:modified>
  <cp:revision>31</cp:revision>
  <dc:subject/>
  <dc:title>Coupling between tolerance and resistance differs between related Eimeria parasite species: implications for coevolution with their mouse hosts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