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in High-Risk Antiphospholipid Syndrome and Active Cancer: A Scoping Review and Clinical Framework</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v0.1</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in high-risk APS with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and to synthesise a clinical framework distinguishing evidence-based, extrapolated, and expert-opinion–based recommendations across common oncological scenarios.</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Persistence of antibody positivity on two occasions at least 12 weeks apart, together with the number and combination of positive assays, is central to both diagnosis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 including the 2019 EULAR recommendations for the management of APS in adults [5], the International Society on Thrombosis and Haemostasis Scientific and Standardization Committee (ISTH SSC) guidance [REF], and the British Society for Haematology guideline [REF]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the 2022 International Initiative on Thrombosis and Cancer (ITAC) clinical practice guidelines, American Society of Clinical Oncology (ASCO) guidance, and the 2022 European Society of Cardiology (ESC) Cardio-Oncology guidelines — recommend either a DOAC (apixaban, rivaroxaban, or edoxaban) or LMWH as first-line therapy, generally for a minimum of three to six months and, in practice, for as long as the malignancy remains active or under treatment [REF: NCCN; REF: ITAC 2022; REF: ESC 2022]. Choice between agents is guided by renal and hepatic function, gastrointestinal or genitourinary tumour site (favouring LMWH because of bleeding risk with DOACs), bleeding risk, thrombocytopenia, and patient preference.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above.</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[REF needed: pharmacokinetic/interaction data on specific chemotherapeutic regimens.] In the absence of mucositis, vomiting, or major changes in oral intake, the principal added consideration is drug–drug interaction via cytochrome P450 3A4 and P-glycoprotein pathways shared by several DOACs and chemotherapeutic, antiemetic, and supportive-care agents. [Grading: extrapolated from general oncology/pharmacology literature and cancer-associated thrombosis guidance;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[Grading: expert opinion/pathophysiological reasoning for the combined population; indirect evidence from general oncology literature — REF needed — describing DOAC continuation rates during chemotherapy-induced nausea/vomiting in non-APS cancer patients.]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are lacking.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[REF: NCCN].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[REF],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factors common during active cancer treatment — variable dietary vitamin K intake, antibiotic courses, hepatic dysfunction, and drug interactions — are all recognised, non-APS-specific causes of reduced TTR. Whether these factors have a disproportionate impact on TTR specifically in oncological APS patients has not, to our knowledge, been directly studied. [Grading: expert opinion/pharmacological reasoning; no direct data identified.]</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NCCN guidance provides a structured algorithm according to the failing agent (e.g., switching from a reduced-dose to full-dose DOAC, switching class, or increasing LMWH frequency or dose) [REF: NCCN]. For breakthrough thrombosis in APS outside the oncological setting, guidance similarly favours optimisation or switching, generally toward or within VKA/heparin-based strategies rather than toward a DOAC [REF: EULAR/ISTH]. In a patient with both conditions, applying the APS-oriented approach (favouring VKA/heparin-class escalation over DOAC initiation) appears the more conservative and mechanistically consistent choice, though this has not been directly tested. [Grading: extrapolated from two separate, non-overlapping guideline bodies; expert opinion on reconciliation.]</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to be added: 2023 ACR/EULAR APS classification criteria; ISTH SSC guidance on DOAC use in APS; British Society for Haematology APS guideline; NCCN Cancer-Associated Venous Thromboembolic Disease guideline; ITAC 2022 (Lancet Oncology); 2022 ESC Cardio-Oncology guidelines;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Notes for the next working session</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Once Section 3 (Results) is populated, revisit Section 4.2 to convert extrapolation-based statements into direct-evidence statements wherever new data allow.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2026-08-31T06:02:11.722Z</dcterms:created>
  <dcterms:modified xsi:type="dcterms:W3CDTF">2026-08-31T06:02:11.722Z</dcterms:modified>
</cp:coreProperties>
</file>

<file path=docProps/custom.xml><?xml version="1.0" encoding="utf-8"?>
<Properties xmlns="http://schemas.openxmlformats.org/officeDocument/2006/custom-properties" xmlns:vt="http://schemas.openxmlformats.org/officeDocument/2006/docPropsVTypes"/>
</file>