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REVISIONE METODOLOGICA CRITICA E RIPROGETTAZIONE DI DUE PROTOCOLLI DI RICERCA</w:t>
      </w:r>
    </w:p>
    <w:p>
      <w:pPr>
        <w:pStyle w:val="Heading2"/>
      </w:pPr>
      <w:r>
        <w:t>Ecografia multiparametrica in MASLD/tirzepatide e CEUS-DETECT</w:t>
      </w:r>
    </w:p>
    <w:p>
      <w:pPr>
        <w:pStyle w:val="Heading3"/>
      </w:pPr>
      <w:r>
        <w:t>Documento di revisione a cura di un Principal Investigator e revisore metodologico per riviste Q1</w:t>
      </w:r>
    </w:p>
    <w:p>
      <w:pPr>
        <w:spacing w:before="40" w:after="40"/>
        <w:jc w:val="center"/>
      </w:pPr>
      <w:r>
        <w:rPr>
          <w:sz w:val="8"/>
          <w:u w:val="single"/>
        </w:rPr>
        <w:t xml:space="preserve">                    </w:t>
      </w:r>
    </w:p>
    <w:p>
      <w:pPr>
        <w:pStyle w:val="Heading1"/>
      </w:pPr>
      <w:r>
        <w:t>Executive summary</w:t>
      </w:r>
    </w:p>
    <w:p>
      <w:r>
        <w:t xml:space="preserve">Questo documento è una revisione metodologica indipendente di due protocolli di ricerca — </w:t>
      </w:r>
      <w:r>
        <w:rPr>
          <w:b/>
        </w:rPr>
        <w:t>TIRZEPATIDE-MASLD</w:t>
      </w:r>
      <w:r>
        <w:t xml:space="preserve"> (studio di coorte prospettico monocentrico su ecografia multiparametrica epatica e vascolare in pazienti trattati con tirzepatide) e </w:t>
      </w:r>
      <w:r>
        <w:rPr>
          <w:b/>
        </w:rPr>
        <w:t>CEUS-DETECT</w:t>
      </w:r>
      <w:r>
        <w:t xml:space="preserve"> (studio multicentrico di accuratezza diagnostica sulla resa incrementale della CEUS nella sorveglianza oncologica epatica) — condotta nel ruolo di Principal Investigator/metodologo e di revisore per riviste di fascia Q1 (Nature Medicine, Lancet Gastroenterology &amp; Hepatology, Gut, Gastroenterology, JCO, Radiology).</w:t>
      </w:r>
    </w:p>
    <w:p>
      <w:r>
        <w:rPr>
          <w:b/>
        </w:rPr>
        <w:t>Giudizio di sintesi.</w:t>
      </w:r>
      <w:r>
        <w:t xml:space="preserve"> Entrambi i protocolli sono, nella versione fornita, già a un livello di maturità metodologica insolitamente alto per la fase preliminare alla sottomissione al Comitato Etico: dichiarano esplicitamente i propri limiti, evitano sovra-interpretazioni, e — nel caso di CEUS-DETECT — implementano soluzioni metodologiche avanzate (verifica differita non differenziale, algoritmo prespecificato di classificazione dei casi, analisi del verification bias secondo Begg-Greenes, reporting STARD 2015) che non sono scontate nemmeno in studi pubblicati su riviste di alto impatto. Questo è un punto di partenza favorevole, ma comporta una conseguenza per questa revisione: il valore aggiunto principale non consiste nel correggere errori metodologici grossolani (pochi sono presenti), bensì nel (1) colmare il gap di causalità e di novità traslazionale che separa uno studio "corretto" da uno studio "Q1-competitivo", e nel (2) integrare, dove scientificamente giustificato, l'approccio — biomarcatori liquidi multi-analita, immagine come dato strutturato per l'intelligenza artificiale, governance dei dati come collo di bottiglia reale — che emerge dall'attività scientifica del Prof. Gabriele Zoppoli (Medicina Interna a Indirizzo Oncologico, Translational Genomics Laboratory, DiMI, Università di Genova/IRCCS San Martino).</w:t>
      </w:r>
    </w:p>
    <w:p>
      <w:r>
        <w:rPr>
          <w:b/>
        </w:rPr>
        <w:t>I tre problemi che un revisore di rivista Q1 solleverebbe per primi:</w:t>
      </w:r>
    </w:p>
    <w:p>
      <w:pPr>
        <w:pStyle w:val="ListNumber"/>
      </w:pPr>
      <w:r>
        <w:rPr>
          <w:b/>
        </w:rPr>
        <w:t>TIRZEPATIDE-MASLD è a braccio singolo, senza comparatore.</w:t>
      </w:r>
      <w:r>
        <w:t xml:space="preserve"> È il limite più grave del protocollo, già dichiarato con onestà dagli autori. Senza un correttivo, lo studio resta un solido </w:t>
      </w:r>
      <w:r>
        <w:rPr>
          <w:i/>
        </w:rPr>
        <w:t>pilot</w:t>
      </w:r>
      <w:r>
        <w:t xml:space="preserve"> pubblicabile su una rivista di ecografia/epatologia di fascia media, ma non su Lancet Gastroenterology &amp; Hepatology o Gut. In questa revisione propongo un correttivo realistico (coorte di confronto osservazionale non randomizzata, con pesatura per propensity score) che non richiede di alterare l'assetto clinico (nessun paziente viene trattato o non trattato "per lo studio").</w:t>
      </w:r>
    </w:p>
    <w:p>
      <w:pPr>
        <w:pStyle w:val="ListNumber"/>
      </w:pPr>
      <w:r>
        <w:rPr>
          <w:b/>
        </w:rPr>
        <w:t>La numerosità campionaria di CEUS-DETECT (n≈350, incremental detection rate atteso 5–8%) è un'estrapolazione da un contesto clinico diverso</w:t>
      </w:r>
      <w:r>
        <w:t xml:space="preserve"> (stadiazione iniziale, Sawatzki 2021, tasso 2,7%) applicata alla sorveglianza longitudinale, contesto mai studiato sistematicamente prima. Gli autori lo dichiarano esplicitamente ed è corretto che lo facciano — ma la fase retrospettiva di fattibilità, così come disegnata, aggiorna la stima una sola volta, prima dell'attivazione dei centri satellite. Propongo un secondo checkpoint, un </w:t>
      </w:r>
      <w:r>
        <w:rPr>
          <w:i/>
        </w:rPr>
        <w:t>blinded sample size re-estimation</w:t>
      </w:r>
      <w:r>
        <w:t xml:space="preserve"> dopo i primi 100 pazienti prospettici, per evitare che uno studio multicentrico di 19 mesi resti strutturalmente sottopotenziato se il tasso reale è, come è plausibile, più vicino al 3% che all'8%.</w:t>
      </w:r>
    </w:p>
    <w:p>
      <w:pPr>
        <w:pStyle w:val="ListNumber"/>
      </w:pPr>
      <w:r>
        <w:rPr>
          <w:b/>
        </w:rPr>
        <w:t>Nessuno dei due protocolli sfrutta ancora il valore che l'infrastruttura già prevista (prelievi seriati, filmati CEUS archiviati, refertazione strutturata) potrebbe generare come risorsa traslazionale.</w:t>
      </w:r>
      <w:r>
        <w:t xml:space="preserve"> Questo è il punto in cui l'integrazione con l'approccio del Prof. Zoppoli produce il maggiore incremento di originalità, a costo marginale quasi nullo, perché si tratta di </w:t>
      </w:r>
      <w:r>
        <w:rPr>
          <w:i/>
        </w:rPr>
        <w:t>aggiungere struttura e consenso a raccolte già previste</w:t>
      </w:r>
      <w:r>
        <w:t>, non di aggiungere nuove procedure ai pazienti.</w:t>
      </w:r>
    </w:p>
    <w:p>
      <w:r>
        <w:t>Il resto del documento sviluppa questi tre punti e altri undici problemi minori, con motivazione scientifica, riferimenti bibliografici verificati, tre revisioni indipendenti simulate (clinico, statistico, editor), i protocolli integralmente rivisti, l'elenco dettagliato delle modifiche e i problemi che restano aperti anche dopo la revisione.</w:t>
      </w:r>
    </w:p>
    <w:p>
      <w:pPr>
        <w:spacing w:before="40" w:after="40"/>
        <w:jc w:val="center"/>
      </w:pPr>
      <w:r>
        <w:rPr>
          <w:sz w:val="8"/>
          <w:u w:val="single"/>
        </w:rPr>
        <w:t xml:space="preserve">                    </w:t>
      </w:r>
    </w:p>
    <w:p>
      <w:pPr>
        <w:pStyle w:val="Heading1"/>
      </w:pPr>
      <w:r>
        <w:t>Parte A — Metodo di questa revisione</w:t>
      </w:r>
    </w:p>
    <w:p>
      <w:r>
        <w:t>Ho letto integralmente i due protocolli forniti (</w:t>
      </w:r>
      <w:r>
        <w:rPr>
          <w:i/>
        </w:rPr>
        <w:t>Protocollo TIRZEPATIDE-MASLD, studio unico</w:t>
      </w:r>
      <w:r>
        <w:t xml:space="preserve">, v1.2; </w:t>
      </w:r>
      <w:r>
        <w:rPr>
          <w:i/>
        </w:rPr>
        <w:t>CEUS-DETECT, Protocollo v5, Comitato Etico</w:t>
      </w:r>
      <w:r>
        <w:t>) e le 28 diapositive della presentazione del Prof. Gabriele Zoppoli (</w:t>
      </w:r>
      <w:r>
        <w:rPr>
          <w:i/>
        </w:rPr>
        <w:t>Dal sangue all'immagine — Analiti, coorti e machine learning in medicina interna</w:t>
      </w:r>
      <w:r>
        <w:t>, Centro di Ecografia Internistica, Ospedale Maggiore di Bologna, luglio 2026). Ho condotto una ricerca bibliografica mirata (non una revisione sistematica formale) sui temi centrali di ciascun protocollo, con priorità alla letteratura 2021–2026, verificando ogni riferimento citato in questo documento. Dove un'affermazione della letteratura non è stata reperita o verificata con sufficiente certezza, lo dichiaro esplicitamente nel testo invece di ometterlo o di inventare la fonte, come richiesto.</w:t>
      </w:r>
    </w:p>
    <w:p>
      <w:r>
        <w:rPr>
          <w:b/>
        </w:rPr>
        <w:t>Livelli di evidenza utilizzati nel testo:</w:t>
      </w:r>
      <w:r>
        <w:t xml:space="preserve"> RCT/sottostudio di RCT = evidenza di alto livello; studio di coorte prospettico o studio diagnostico ben condotto = evidenza di livello intermedio; studio retrospettivo su database amministrativi (es. TriNetX), serie di casi, opinione di esperti o consensus = evidenza di basso livello, da citare sempre come tale.</w:t>
      </w:r>
    </w:p>
    <w:p>
      <w:pPr>
        <w:spacing w:before="40" w:after="40"/>
        <w:jc w:val="center"/>
      </w:pPr>
      <w:r>
        <w:rPr>
          <w:sz w:val="8"/>
          <w:u w:val="single"/>
        </w:rPr>
        <w:t xml:space="preserve">                    </w:t>
      </w:r>
    </w:p>
    <w:p>
      <w:pPr>
        <w:pStyle w:val="Heading1"/>
      </w:pPr>
      <w:r>
        <w:t>Parte B — Cosa emerge scientificamente dal materiale del Prof. Zoppoli (non le slide, i principi)</w:t>
      </w:r>
    </w:p>
    <w:p>
      <w:r>
        <w:t>Le slide non vanno copiate; i principi che le attraversano sono i seguenti, ed è a questi principi — non alle singole diapositive — che ancoro le integrazioni proposte più avanti.</w:t>
      </w:r>
    </w:p>
    <w:p>
      <w:r>
        <w:rPr>
          <w:b/>
        </w:rPr>
        <w:t>B.1 — L'immagine come "analita" strutturato, non come referto narrativo.</w:t>
      </w:r>
      <w:r>
        <w:t xml:space="preserve"> Zoppoli propone una gerarchia a tre gradini per l'intelligenza artificiale applicata all'ecografia: (1) riconoscere la sezione anatomica che si sta osservando, (2) rilevare e localizzare un reperto, (3) caratterizzarlo diagnosticamente. Ogni gradino ha un valore clinico autonomo, anche senza raggiungere il successivo. Questo è rilevante perché entrambi i protocolli in revisione generano già, come sottoprodotto della loro conduzione, esattamente il tipo di immagine annotata (CEUS-DETECT) o multiparametrica (TIRZEPATIDE-MASLD) che questa gerarchia richiede — ma nessuno dei due protocolli, nella stesura attuale, prevede di strutturare questa raccolta per un uso secondario.</w:t>
      </w:r>
    </w:p>
    <w:p>
      <w:r>
        <w:rPr>
          <w:b/>
        </w:rPr>
        <w:t>B.2 — Validazione onesta: split per paziente, non per immagine; il numero che conta è quello del centro esterno.</w:t>
      </w:r>
      <w:r>
        <w:t xml:space="preserve"> Il punto più operativo delle slide (17–19) è metodologico in senso stretto: un modello di intelligenza artificiale in ecografia va validato dividendo il campione per paziente, mai per singola immagine o clip, e la cifra di performance che conta davvero è quella ottenuta su un centro genuinamente esterno, non su un held-out set dello stesso centro. Questo principio, elementare ma spesso violato nella letteratura di AI in imaging medico, è direttamente applicabile a qualunque sotto-studio di intelligenza artificiale che scaturisca da CEUS-DETECT, che è già multicentrico.</w:t>
      </w:r>
    </w:p>
    <w:p>
      <w:r>
        <w:rPr>
          <w:b/>
        </w:rPr>
        <w:t>B.3 — Il pancreas è l'organo più difficile in ecografia, non per assunzione ma per dato misurato.</w:t>
      </w:r>
      <w:r>
        <w:t xml:space="preserve"> Nello stesso lavoro (Wang et al., </w:t>
      </w:r>
      <w:r>
        <w:rPr>
          <w:i/>
        </w:rPr>
        <w:t>Ultrasound Med Biol</w:t>
      </w:r>
      <w:r>
        <w:t xml:space="preserve"> 2026, in press — vedi verifica bibliografica in Parte D) la segmentazione del pancreas ottiene un indice di Jaccard inferiore al 60%, il peggior risultato fra gli organi addominali testati (fegato, colecisti, milza, pancreas), per ragioni fisiche riproducibili: profondità, scarsa finestra acustica, dipendenza dall'operatore. Questo è un dato di cautela, non di opportunità, e va usato come tale: qualunque estensione pancreatica di questi protocolli deve assumere una performance ecografica strutturalmente peggiore rispetto al fegato, non per pessimismo ma per evidenza diretta.</w:t>
      </w:r>
    </w:p>
    <w:p>
      <w:r>
        <w:rPr>
          <w:b/>
        </w:rPr>
        <w:t>B.4 — Numerosità per compito, non per studio.</w:t>
      </w:r>
      <w:r>
        <w:t xml:space="preserve"> Le slide indicano ordini di grandezza empirici distinti per compito di intelligenza artificiale: circa 500 esami per il riconoscimento di sezione, 1.000 per detection/localizzazione con maschera disegnata a mano, 10.000 per la diagnosi definitiva (con i riferimenti di confronto Cao et al., </w:t>
      </w:r>
      <w:r>
        <w:rPr>
          <w:i/>
        </w:rPr>
        <w:t>Nat Med</w:t>
      </w:r>
      <w:r>
        <w:t xml:space="preserve"> 2023, 9.447 pazienti per un modello PANDA su TC pancreatica, e Li et al., </w:t>
      </w:r>
      <w:r>
        <w:rPr>
          <w:i/>
        </w:rPr>
        <w:t>Lancet Oncol</w:t>
      </w:r>
      <w:r>
        <w:t xml:space="preserve"> 2019, 17.627 pazienti per un modello tiroideo). Questi ordini di grandezza sono utili come termine di paragone per dimensionare in modo realistico qualunque sotto-studio di AI proposto in questa revisione, evitando di promettere una "diagnosi AI" quando i dati disponibili bastano solo per una detection.</w:t>
      </w:r>
    </w:p>
    <w:p>
      <w:r>
        <w:rPr>
          <w:b/>
        </w:rPr>
        <w:t>B.5 — Raccolta senza catena del freddo come abilitatore pratico di biobanking multicentrico.</w:t>
      </w:r>
      <w:r>
        <w:t xml:space="preserve"> Sangue intero raccolto con puntura del dito e reagente stabilizzante (es. sistema Tempus), plasma stabile a temperatura ambiente per 14 giorni in provetta con conservante dedicato, tessuto già disponibile come blocchetto FFPE in anatomia patologica: l'elemento scientificamente interessante non è la tecnologia in sé (nota da anni, cfr. Norton et al., </w:t>
      </w:r>
      <w:r>
        <w:rPr>
          <w:i/>
        </w:rPr>
        <w:t>Clin Biochem</w:t>
      </w:r>
      <w:r>
        <w:t xml:space="preserve"> 2013), ma la sua applicazione sistematica per rendere fattibile, a basso costo e senza infrastruttura di conservazione dedicata, una raccolta biologica seriata in uno studio clinico che altrimenti non la prevederebbe.</w:t>
      </w:r>
    </w:p>
    <w:p>
      <w:r>
        <w:rPr>
          <w:b/>
        </w:rPr>
        <w:t>B.6 — Il DNA circolante libero (cfDNA) porta una firma epigenetica che ne rivela il tessuto di origine.</w:t>
      </w:r>
      <w:r>
        <w:t xml:space="preserve"> Principio dimostrato da Lehmann-Werman et al. (</w:t>
      </w:r>
      <w:r>
        <w:rPr>
          <w:i/>
        </w:rPr>
        <w:t>PNAS</w:t>
      </w:r>
      <w:r>
        <w:t xml:space="preserve"> 2016) e mappato in un atlante di riferimento genome-wide da Loyfer et al. (</w:t>
      </w:r>
      <w:r>
        <w:rPr>
          <w:i/>
        </w:rPr>
        <w:t>Nature</w:t>
      </w:r>
      <w:r>
        <w:t xml:space="preserve"> 2023): la metilazione differenziale tessuto-specifica del cfDNA plasmatico permette di stimare la frazione di DNA circolante originata da un determinato organo. Zoppoli applica questo principio al danno d'organo in patologia non oncologica (sepsi: aumento della frazione epatica e renale, Lehmann-Werman 2018 </w:t>
      </w:r>
      <w:r>
        <w:rPr>
          <w:i/>
        </w:rPr>
        <w:t>JCI Insight</w:t>
      </w:r>
      <w:r>
        <w:t xml:space="preserve">; You et al. 2024 </w:t>
      </w:r>
      <w:r>
        <w:rPr>
          <w:i/>
        </w:rPr>
        <w:t>Epigenetics</w:t>
      </w:r>
      <w:r>
        <w:t>) — un'estensione concettualmente diretta, e finora non esplorata nel contesto specifico della MASLD, è l'uso della frazione di cfDNA epatocitario come biomarcatore di turnover/morte epatocitaria, complementare e meccanicisticamente distinto dai marcatori ecografici indiretti già previsti dal protocollo TIRZEPATIDE-MASLD.</w:t>
      </w:r>
    </w:p>
    <w:p>
      <w:r>
        <w:rPr>
          <w:b/>
        </w:rPr>
        <w:t>B.7 — Trascrittomica ematica a basso costo come lettura della risposta dell'ospite.</w:t>
      </w:r>
      <w:r>
        <w:t xml:space="preserve"> Il sequenziamento 3' (kit Lexogen, si legge solo l'estremità del trascritto) applicato a 44 soggetti e 214 prelievi seriali in un modello di richiamo vaccinale anti-SARS-CoV-2 (Ravera et al., </w:t>
      </w:r>
      <w:r>
        <w:rPr>
          <w:i/>
        </w:rPr>
        <w:t>Cell Rep</w:t>
      </w:r>
      <w:r>
        <w:t xml:space="preserve"> 2025) ha mostrato che il rituximab abolisce la risposta interferonica di tipo I altrimenti osservabile nel sangue intero — un esempio diretto di come un readout trascrittomico economico e ripetibile nel sangue possa rendere visibile un fenomeno immunologico/infiammatorio sistemico. Il principio, non lo specifico assay, è trasferibile a un contesto metabolico come la MASLD, dove l'infiammazione sistemica di basso grado è parte della fisiopatologia.</w:t>
      </w:r>
    </w:p>
    <w:p>
      <w:r>
        <w:rPr>
          <w:b/>
        </w:rPr>
        <w:t>B.8 — Qualità dell'annotazione clinica, non numerosità grezza, come limite reale delle coorti traslazionali piccole.</w:t>
      </w:r>
      <w:r>
        <w:t xml:space="preserve"> "I limiti sono l'annotazione e l'integrazione con altri dati completi, non il numero" (slide 14, riferita a una coorte di 44 soggetti/7 pazienti/4 biopsie che ha comunque generato una pubblicazione su </w:t>
      </w:r>
      <w:r>
        <w:rPr>
          <w:i/>
        </w:rPr>
        <w:t>Cell Reports</w:t>
      </w:r>
      <w:r>
        <w:t>). È un principio che valida, più che modificare, l'impostazione già adottata dai due protocolli in revisione, entrambi costruiti attorno a una raccolta dati densa e temporalmente controllata anche a fronte di numerosità modeste.</w:t>
      </w:r>
    </w:p>
    <w:p>
      <w:r>
        <w:rPr>
          <w:b/>
        </w:rPr>
        <w:t>B.9 — Il collo di bottiglia reale è autorizzativo, non tecnico.</w:t>
      </w:r>
      <w:r>
        <w:t xml:space="preserve"> "Non è la tecnica, è l'autorizzazione. Comitato etico, DPO, titolarità dei dati, uso secondario di immagini già raccolte. Tempi nell'ordine dei mesi, va aperta prima di avere il modello" (slide 24). È forse l'affermazione più operativamente utile dell'intera presentazione ai fini di questa revisione: qualunque sotto-studio traslazionale o di intelligenza artificiale proposto in questo documento deve avere il proprio percorso etico-autorizzativo aperto fin dal mese 1, in parallelo e non in serie rispetto allo sviluppo scientifico.</w:t>
      </w:r>
    </w:p>
    <w:p>
      <w:r>
        <w:rPr>
          <w:b/>
        </w:rPr>
        <w:t>B.10 — Un gap di letteratura dichiarato, da verificare indipendentemente.</w:t>
      </w:r>
      <w:r>
        <w:t xml:space="preserve"> La slide 29 (bibliografia, voce 21) riporta una ricerca PubMed del 29 luglio 2026 secondo cui la lipidomica in MASLD conta circa 578 lavori, mentre l'incrocio tirzepatide/metabolomica ne conta 13, nessuno sull'uomo. Ho verificato in modo indipendente questa affermazione (Parte D); è un'osservazione bibliometrica, non un dato di efficacia, e va trattata come motivazione per un'ipotesi esplorativa, non come evidenza di un effetto.</w:t>
      </w:r>
    </w:p>
    <w:p>
      <w:r>
        <w:rPr>
          <w:b/>
        </w:rPr>
        <w:t>Cosa NON è supportato dalla letteratura e va segnalato come tale.</w:t>
      </w:r>
      <w:r>
        <w:t xml:space="preserve"> Le slide non affermano nulla di clinicamente scorretto, ma alcune analogie sono suggestive più che dimostrate: (i) l'estensione del principio "cfDNA rivela danno d'organo" (dimostrato in sepsi, trapianto, oncologia) alla MASLD è per ora un'ipotesi non testata nella letteratura reperita, non un dato consolidato — va proposta come tale, in un sotto-studio esplorativo, non come biomarcatore validato; (ii) l'accuratezza del 97% nel riconoscimento di sezione e il Jaccard &lt;60% nella segmentazione del pancreas si riferiscono a un lavoro specifico (Wang et al. 2026, in press al momento della verifica) su una coorte particolare, e la loro generalizzabilità ad altri ecografi/operatori non è stabilita; (iii) l'affermazione che gli agonisti GLP-1/tirzepatide riducano gli eventi vascolari periferici maggiori è basata, nella bibliografia dello stesso protocollo TIRZEPATIDE-MASLD, su studi retrospettivi su database amministrativi (TriNetX), non su RCT — il protocollo lo dichiara già correttamente, e questa revisione lo conferma sulla base della verifica bibliografica indipendente riportata in Parte D.</w:t>
      </w:r>
    </w:p>
    <w:p>
      <w:pPr>
        <w:pStyle w:val="Heading1"/>
      </w:pPr>
      <w:r>
        <w:t>Parte C — Reviewer mode: tre revisioni indipendenti</w:t>
      </w:r>
    </w:p>
    <w:p>
      <w:r>
        <w:t>Di seguito le revisioni indipendenti, come se fossero prodotte da tre revisori distinti che non hanno letto le opinioni degli altri due. Le osservazioni sono poi integrate (non semplicemente giustapposte) nella versione finale dei protocolli in Parte E-F.</w:t>
      </w:r>
    </w:p>
    <w:p>
      <w:pPr>
        <w:pStyle w:val="Heading2"/>
      </w:pPr>
      <w:r>
        <w:t>C.1 — Protocollo TIRZEPATIDE-MASLD</w:t>
      </w:r>
    </w:p>
    <w:p>
      <w:pPr>
        <w:pStyle w:val="Heading3"/>
      </w:pPr>
      <w:r>
        <w:t>Revisore 1 — Clinico (internista/epatologo)</w:t>
      </w:r>
    </w:p>
    <w:p>
      <w:r>
        <w:t>Il razionale clinico è solido e aggiornato: la MASLD colpisce oggi una quota rilevante della popolazione con obesità/diabete, e la tirzepatide ha un effetto documentato sul contenuto di grasso epatico in RCT (SURPASS-3 substudy, SYNERGY-NASH). Dal punto di vista clinico, tuttavia, tre aspetti mi preoccupano.</w:t>
      </w:r>
    </w:p>
    <w:p>
      <w:r>
        <w:t xml:space="preserve">Primo: l'endpoint primario (variazione percentuale della fat fraction) è un endpoint surrogato di secondo grado — surrogato di un surrogato, se si considera che la stessa MRI-PDFF è surrogato istologico. Un clinico che legge lo studio vorrà sapere se la variazione osservata è clinicamente rilevante, non solo statisticamente significativa. Raccomando di ancorare l'endpoint a una soglia di risposta clinicamente significativa (analisi </w:t>
      </w:r>
      <w:r>
        <w:rPr>
          <w:i/>
        </w:rPr>
        <w:t>responder</w:t>
      </w:r>
      <w:r>
        <w:t>, es. proporzione di pazienti con riduzione relativa ≥30% della fat fraction, soglia storicamente associata a miglioramento istologico in letteratura MRI-PDFF) accanto alla variazione continua.</w:t>
      </w:r>
    </w:p>
    <w:p>
      <w:r>
        <w:t>Secondo: la popolazione di studio (BMI 27-50, età 18-65) è ampia ed eterogenea per severità di malattia epatica di base. Senza stratificazione per fibrosi basale (2D-SWE), rischiamo di mescolare pazienti con MASLD lieve (F0-F1, dove la risposta è probabilmente diversa) con pazienti già fibrotici (F2-F3), diluendo il segnale.</w:t>
      </w:r>
    </w:p>
    <w:p>
      <w:r>
        <w:t>Terzo, e più rilevante per la pratica clinica: la componente vascolare (ABI, ecocolorDoppler arti inferiori) è ben concepita come esplorativa, ma temo che l'aggiunta di così tante valutazioni per paziente (ecografia multiparametrica completa + Doppler arti inferiori + bioimpedenziometria + questionari, ripetute tre volte in 12 mesi) comprometta la compliance in una popolazione già gravata da una terapia con effetti collaterali gastrointestinali frequenti. Suggerisco di verificare, con un piccolo pilota interno o con i dati dei primi pazienti arruolati, il tempo reale per visita e il tasso di completamento di tutte le componenti, prima di consolidare il protocollo definitivo.</w:t>
      </w:r>
    </w:p>
    <w:p>
      <w:r>
        <w:t>Infine, un punto di sicurezza: la sorveglianza per pancreatite acuta e per patologia della colecisti è menzionata ma non strutturata (nessuna ecografia dedicata a queste complicanze durante il follow-up, se non come reperto incidentale durante la scansione epatica). Dato che lo studio esegue comunque un'ecografia addominale completa a ogni time-point, raccomando di formalizzare la valutazione della colecisti (calcolosi, sludge, segni di colecistite) come parametro di sicurezza strutturato, non solo come nota incidentale — a costo zero, perché la sonda è già lì.</w:t>
      </w:r>
    </w:p>
    <w:p>
      <w:pPr>
        <w:pStyle w:val="Heading3"/>
      </w:pPr>
      <w:r>
        <w:t>Revisore 2 — Metodologo/statistico</w:t>
      </w:r>
    </w:p>
    <w:p>
      <w:r>
        <w:t>Il protocollo è insolitamente onesto sui propri limiti statistici, il che ne facilita la revisione. Tre osservazioni tecniche.</w:t>
      </w:r>
    </w:p>
    <w:p>
      <w:pPr>
        <w:pStyle w:val="ListNumber"/>
      </w:pPr>
      <w:r>
        <w:rPr>
          <w:b/>
        </w:rPr>
        <w:t>Assenza di comparatore</w:t>
      </w:r>
      <w:r>
        <w:t xml:space="preserve">: è il problema centrale, già discusso nel documento stesso. Aggiungo una considerazione tecnica: anche in assenza di randomizzazione, l'inclusione di una coorte di confronto (pazienti con MASLD comparabile per BMI/età/severità che non iniziano tirzepatide, per scelta clinica o mancata prescrizione) permetterebbe un'analisi </w:t>
      </w:r>
      <w:r>
        <w:rPr>
          <w:i/>
        </w:rPr>
        <w:t>difference-in-differences</w:t>
      </w:r>
      <w:r>
        <w:t xml:space="preserve"> o un aggiustamento con propensity score, che non richiede randomizzazione ma migliora sostanzialmente l'inferenza causale rispetto al design attuale before-after puro. Il costo aggiuntivo è modesto: la stessa struttura (Programma di Ecografia) probabilmente vede già pazienti con MASLD non candidati o non ancora avviati a terapia incretino-mimetica.</w:t>
      </w:r>
    </w:p>
    <w:p>
      <w:pPr>
        <w:pStyle w:val="ListNumber"/>
      </w:pPr>
      <w:r>
        <w:rPr>
          <w:b/>
        </w:rPr>
        <w:t>Calcolo della dimensione campionaria</w:t>
      </w:r>
      <w:r>
        <w:t>: n=12 per l'endpoint primario (con effect size estrapolato da MRI, non da dati ecografici diretti) è correttamente giudicato dagli stessi autori come una stima "di lavoro". Il campione pragmatico di 40 pazienti è ragionevole per fattibilità, ma non è "potenziato" nel senso statistico classico per nessun obiettivo se non, marginalmente, per il primario. Raccomando di riportare esplicitamente, per gli obiettivi secondari a numerosità 40 e drop-out 20%, la precisione attesa (ampiezza dell'intervallo di confidenza) invece del solo p-value atteso, così da comunicare onestamente cosa lo studio può e non può stimare.</w:t>
      </w:r>
    </w:p>
    <w:p>
      <w:pPr>
        <w:pStyle w:val="ListNumber"/>
      </w:pPr>
      <w:r>
        <w:rPr>
          <w:b/>
        </w:rPr>
        <w:t>Modelli a effetti misti con dato mancante MAR</w:t>
      </w:r>
      <w:r>
        <w:t>: la scelta è corretta e allineata alle raccomandazioni correnti (preferibile all'analisi dei soli casi completi), ma l'assunzione MAR non è verificabile nei dati e andrebbe accompagnata da un'analisi di sensitività sotto assunzione MNAR (missing not at random) plausibile in questo contesto — ad esempio i pazienti che interrompono per intolleranza gastrointestinale potrebbero avere una traiettoria epatica sistematicamente diversa da chi completa il follow-up. Questo è un punto che una rivista Q1 con revisori biostatistici solleverà quasi certamente.</w:t>
      </w:r>
    </w:p>
    <w:p>
      <w:pPr>
        <w:pStyle w:val="ListNumber"/>
      </w:pPr>
      <w:r>
        <w:t>Un dettaglio minore ma non trascurabile: il protocollo non menziona una registrazione pubblica dello studio (es. ClinicalTrials.gov). CEUS-DETECT lo prevede esplicitamente; TIRZEPATIDE-MASLD no. Per uno studio che genera ipotesi e sarà sottoposto a rivista, la pre-registrazione (anche di uno studio osservazionale) è oggi attesa dagli editor delle riviste indicate nel brief.</w:t>
      </w:r>
    </w:p>
    <w:p>
      <w:pPr>
        <w:pStyle w:val="Heading3"/>
      </w:pPr>
      <w:r>
        <w:t>Revisore 3 — Editor di rivista Q1</w:t>
      </w:r>
    </w:p>
    <w:p>
      <w:r>
        <w:t xml:space="preserve">Il protocollo, nella sua forma attuale, è pubblicabile — ma non nella fascia che l'utente indica come target. È uno studio pilota monocentrico, a braccio singolo, con n pragmatico di 40; questo è coerente con una rivista di buon livello in ecografia clinica o epatologia (es. </w:t>
      </w:r>
      <w:r>
        <w:rPr>
          <w:i/>
        </w:rPr>
        <w:t>Ultraschall in der Medizin</w:t>
      </w:r>
      <w:r>
        <w:t xml:space="preserve">, </w:t>
      </w:r>
      <w:r>
        <w:rPr>
          <w:i/>
        </w:rPr>
        <w:t>Liver International</w:t>
      </w:r>
      <w:r>
        <w:t xml:space="preserve">, </w:t>
      </w:r>
      <w:r>
        <w:rPr>
          <w:i/>
        </w:rPr>
        <w:t>Journal of Ultrasound in Medicine</w:t>
      </w:r>
      <w:r>
        <w:t xml:space="preserve">), non con </w:t>
      </w:r>
      <w:r>
        <w:rPr>
          <w:i/>
        </w:rPr>
        <w:t>Gut</w:t>
      </w:r>
      <w:r>
        <w:t xml:space="preserve"> o </w:t>
      </w:r>
      <w:r>
        <w:rPr>
          <w:i/>
        </w:rPr>
        <w:t>Lancet Gastroenterology &amp; Hepatology</w:t>
      </w:r>
      <w:r>
        <w:t>, che richiedono tipicamente disegni comparativi o numerosità/multicentricità maggiori, oppure una componente meccanicistica/traslazionale distintiva.</w:t>
      </w:r>
    </w:p>
    <w:p>
      <w:r>
        <w:t>Il modo più realistico per elevare la competitività dello studio non è aumentare il numero di misurazioni ecografiche, già estese, ma aggiungere una dimensione che i concorrenti non hanno: (a) un comparatore, anche non randomizzato, che permetta un linguaggio causale più forte in discussione; (b) uno strato traslazionale/meccanicistico (biomarcatori liquidi) che risponda alla domanda "perché" oltre a "quanto", distinguendo lo studio dalla letteratura MRI-based già pubblicata su tirzepatide e fegato; (c) la validazione diretta, anche solo in un sottocampione, della fat fraction ecografica contro un riferimento riconosciuto (MRI-PDFF o letteratura di validazione tecnica del sistema impiegato), che oggi manca e che un revisore statistico solleverà come limite del calcolo campionario. Senza almeno uno di questi tre elementi, la pubblicazione realistica resta di fascia media-alta, comunque dignitosa, ma non Q1 nel senso stretto del termine.</w:t>
      </w:r>
    </w:p>
    <w:p>
      <w:pPr>
        <w:spacing w:before="40" w:after="40"/>
        <w:jc w:val="center"/>
      </w:pPr>
      <w:r>
        <w:rPr>
          <w:sz w:val="8"/>
          <w:u w:val="single"/>
        </w:rPr>
        <w:t xml:space="preserve">                    </w:t>
      </w:r>
    </w:p>
    <w:p>
      <w:pPr>
        <w:pStyle w:val="Heading2"/>
      </w:pPr>
      <w:r>
        <w:t>C.2 — Protocollo CEUS-DETECT</w:t>
      </w:r>
    </w:p>
    <w:p>
      <w:pPr>
        <w:pStyle w:val="Heading3"/>
      </w:pPr>
      <w:r>
        <w:t>Revisore 1 — Clinico (oncologo/radiologo)</w:t>
      </w:r>
    </w:p>
    <w:p>
      <w:r>
        <w:t>Il disegno risponde a un quesito clinico reale e ben posto: la sorveglianza oncologica epatica è oggi dominata da TC/RM, con costi, tempi di attesa, esposizione radiante e (per la RM) tempi macchina non trascurabili; se la CEUS, già disponibile e già eseguita in molti centri come esame di caratterizzazione, potesse anche fungere da strumento di detection incrementale nella sorveglianza di routine, l'impatto pratico sarebbe immediato e a basso costo di implementazione, poiché non richiede nuova tecnologia.</w:t>
      </w:r>
    </w:p>
    <w:p>
      <w:r>
        <w:t>Due osservazioni cliniche. Primo, la definizione di "impatto sul management clinico" (sezione 7.4) è ben costruita ma rischia di sovrastimare l'importanza clinica di reperti CEUS-positivi di piccole dimensioni: una lesione di 4 mm confermata alla verifica differita conta come vero positivo del reference standard composito, ma difficilmente cambia la gestione immediata del paziente. Raccomando di riportare, accanto al tasso di detection incrementale grezzo, un tasso di detection incrementale "azionabile" (lesioni che, per dimensione o sede, avrebbero potuto motivare una decisione terapeutica), definito a priori, per evitare che l'endpoint primario sia trainato da reperti clinicamente marginali.</w:t>
      </w:r>
    </w:p>
    <w:p>
      <w:r>
        <w:t>Secondo, la stratificazione per tumore primitivo include il carcinoma pancreatico e delle vie biliari con una finestra di 3 mesi, coerente con l'aggressività biologica di questi tumori — ma la letteratura e il buon senso clinico suggeriscono che l'ecografia (anche con contrasto) è strutturalmente meno performante in pazienti con anatomia addominale alterata da chirurgia pancreatica maggiore (duodenocefalopancreasectomia) o con corporatura che limita la finestra acustica, situazioni frequenti in questa popolazione. Raccomando di registrare sistematicamente lo stato chirurgico pregresso come covariata e di riportare la qualità/interpretabilità dell'esame separatamente per il sottogruppo pancreatico-biliare, oltre alla soglia minima di 20 pazienti già prevista per le analisi esplorative per sottogruppo.</w:t>
      </w:r>
    </w:p>
    <w:p>
      <w:pPr>
        <w:pStyle w:val="Heading3"/>
      </w:pPr>
      <w:r>
        <w:t>Revisore 2 — Metodologo/statistico</w:t>
      </w:r>
    </w:p>
    <w:p>
      <w:r>
        <w:t xml:space="preserve">Questo è, dei due protocolli, quello metodologicamente più maturo. La gestione del verification bias (verifica differita non differenziale, estesa a tutti i pazienti indipendentemente dall'esito del test indice) è esattamente la soluzione raccomandata dalla letteratura metodologica classica (Begg &amp; Greenes, 1983) e recente (Arifin &amp; Yusof, </w:t>
      </w:r>
      <w:r>
        <w:rPr>
          <w:i/>
        </w:rPr>
        <w:t>Stat Med</w:t>
      </w:r>
      <w:r>
        <w:t xml:space="preserve"> 2022) per evitare la sovrastima di sensibilità/specificità che affligge la maggior parte degli studi di accuratezza diagnostica pubblicati. L'algoritmo prespecificato di classificazione dei casi (Tabella 2) è raro vedere descritto con questo livello di dettaglio in un protocollo, ed è un punto di forza da preservare intatto.</w:t>
      </w:r>
    </w:p>
    <w:p>
      <w:r>
        <w:t>Due osservazioni tecniche da migliorare.</w:t>
      </w:r>
    </w:p>
    <w:p>
      <w:pPr>
        <w:pStyle w:val="ListNumber"/>
      </w:pPr>
      <w:r>
        <w:rPr>
          <w:b/>
        </w:rPr>
        <w:t>Stima della numerosità campionaria basata su un tasso atteso estrapolato da un contesto diverso</w:t>
      </w:r>
      <w:r>
        <w:t xml:space="preserve">: il tasso di detection incrementale del 5-8% è una stima prudenziale rispetto al 2,7% di Sawatzki et al. (2021; nota: le pagine corrette dell'articolo sono 419-427, non 281-288 come riportato nel protocollo attuale — errore di citazione da correggere prima della sottomissione), ma quello studio riguarda la stadiazione iniziale, non la sorveglianza longitudinale con imaging di riferimento già documentato negativo — un contesto a prevalenza attesa diversa, verosimilmente inferiore, perché la popolazione è già stata "scremata" da un esame precedente negativo. Il protocollo prevede un solo checkpoint di aggiornamento della numerosità, al termine della fase retrospettiva. Raccomando un secondo checkpoint di </w:t>
      </w:r>
      <w:r>
        <w:rPr>
          <w:i/>
        </w:rPr>
        <w:t>blinded sample size re-estimation</w:t>
      </w:r>
      <w:r>
        <w:t xml:space="preserve"> dopo i primi 80-100 pazienti della fase prospettica (rivalutando solo il tasso di eventi complessivo, senza rompere il cieco sul confronto CEUS/reference standard), per evitare che uno studio di 19 mesi con 4-6 centri risulti strutturalmente sottopotenziato se il tasso reale nel setting di sorveglianza è, come è plausibile, più vicino al 2-3% che al range assunto.</w:t>
      </w:r>
    </w:p>
    <w:p>
      <w:pPr>
        <w:pStyle w:val="ListNumber"/>
      </w:pPr>
      <w:r>
        <w:rPr>
          <w:b/>
        </w:rPr>
        <w:t>Assenza di correzione per test multipli nelle analisi per sottogruppo</w:t>
      </w:r>
      <w:r>
        <w:t>: la scelta di non correggere è dichiarata esplicitamente e motivata (natura esplorativa) — corretto, ma raccomando di aggiungere un'analisi di sensitività con correzione di Bonferroni o false discovery rate riportata come supplemento, non per cambiare la conclusione primaria ma per anticipare l'obiezione, oggi quasi automatica in sede di revisione, sulla molteplicità dei confronti per sottogruppo (strato A/B, CRC/non-CRC, modalità reference standard, classe dimensionale, trattamento in corso: cinque assi di sottogruppo).</w:t>
      </w:r>
    </w:p>
    <w:p>
      <w:pPr>
        <w:pStyle w:val="ListNumber"/>
      </w:pPr>
      <w:r>
        <w:t>Un punto di forza da segnalare esplicitamente, perché è insolito: la scelta di NON escludere gli esami non interpretabili dall'analisi primaria (sezione 4.3) e di trattarli con un'analisi intention-to-diagnose è metodologicamente corretta e previene la sovrastima della performance che affligge molti studi che, silenziosamente, escludono i casi tecnicamente difficili. Da mantenere invariato.</w:t>
      </w:r>
    </w:p>
    <w:p>
      <w:pPr>
        <w:pStyle w:val="Heading3"/>
      </w:pPr>
      <w:r>
        <w:t>Revisore 3 — Editor di rivista Q1</w:t>
      </w:r>
    </w:p>
    <w:p>
      <w:r>
        <w:t xml:space="preserve">Questo protocollo, diversamente dal precedente, ha già gli ingredienti strutturali per una rivista di fascia alta: disegno multicentrico, quesito clinico ben posto e dichiaratamente mai studiato sistematicamente in questo esatto contesto (sorveglianza longitudinale, non stadiazione), reporting STARD 2015, gestione rigorosa del verification bias, piano di analisi statistica pre-specificato con analisi di sensitività multiple. Se eseguito come scritto, è ragionevolmente competitivo per </w:t>
      </w:r>
      <w:r>
        <w:rPr>
          <w:i/>
        </w:rPr>
        <w:t>Gut</w:t>
      </w:r>
      <w:r>
        <w:t xml:space="preserve">, </w:t>
      </w:r>
      <w:r>
        <w:rPr>
          <w:i/>
        </w:rPr>
        <w:t>Radiology</w:t>
      </w:r>
      <w:r>
        <w:t xml:space="preserve"> o una rivista oncologica di fascia alta con focus su imaging (es. </w:t>
      </w:r>
      <w:r>
        <w:rPr>
          <w:i/>
        </w:rPr>
        <w:t>European Radiology</w:t>
      </w:r>
      <w:r>
        <w:t xml:space="preserve">, </w:t>
      </w:r>
      <w:r>
        <w:rPr>
          <w:i/>
        </w:rPr>
        <w:t>JAMA Oncology</w:t>
      </w:r>
      <w:r>
        <w:t xml:space="preserve"> per l'angolo di impatto clinico).</w:t>
      </w:r>
    </w:p>
    <w:p>
      <w:r>
        <w:t xml:space="preserve">Ciò che lo renderebbe distintivo, oltre che corretto, è l'aggiunta di una componente di novità metodologica che vada oltre l'accuratezza diagnostica classica: il sotto-studio di intelligenza artificiale sui filmati CEUS già archiviati (proposto in Parte D) trasformerebbe lo studio da "un buon studio di accuratezza diagnostica" a "il primo studio che genera, come infrastruttura secondaria, un dataset multicentrico annotato per la detection assistita da AI di metastasi epatiche incidenti in sorveglianza" — una proposizione di valore molto più vicina a ciò che </w:t>
      </w:r>
      <w:r>
        <w:rPr>
          <w:i/>
        </w:rPr>
        <w:t>Nature Medicine</w:t>
      </w:r>
      <w:r>
        <w:t xml:space="preserve"> o </w:t>
      </w:r>
      <w:r>
        <w:rPr>
          <w:i/>
        </w:rPr>
        <w:t>Lancet Digital Health</w:t>
      </w:r>
      <w:r>
        <w:t xml:space="preserve"> pubblicano oggi in questo spazio. Racommando di aprire fin da subito (mese 1, non a fine studio) il percorso etico-autorizzativo per l'uso secondario dei filmati a fini di sviluppo algoritmico, come discusso in Parte B.9, per non perdere questa opportunità per un vincolo puramente burocratico.</w:t>
      </w:r>
    </w:p>
    <w:p>
      <w:pPr>
        <w:spacing w:before="40" w:after="40"/>
        <w:jc w:val="center"/>
      </w:pPr>
      <w:r>
        <w:rPr>
          <w:sz w:val="8"/>
          <w:u w:val="single"/>
        </w:rPr>
        <w:t xml:space="preserve">                    </w:t>
      </w:r>
    </w:p>
    <w:p>
      <w:pPr>
        <w:pStyle w:val="Heading1"/>
      </w:pPr>
      <w:r>
        <w:t>Parte D — Integrazione motivata dei principi di Zoppoli nei due protocolli</w:t>
      </w:r>
    </w:p>
    <w:p>
      <w:r>
        <w:t xml:space="preserve">Ogni integrazione proposta di seguito è preceduta dalla domanda esplicita richiesta dal mandato di questa revisione: </w:t>
      </w:r>
      <w:r>
        <w:rPr>
          <w:i/>
        </w:rPr>
        <w:t>come può questa modifica cambiare realmente la pratica clinica, e su quale evidenza si basa?</w:t>
      </w:r>
      <w:r>
        <w:t xml:space="preserve"> Le integrazioni che non superano questo test non sono incluse (per esempio, non propongo di aggiungere sequenziamento del metiloma genome-wide su scala AURORA-like nel protocollo TIRZEPATIDE-MASLD: sarebbe sproporzionato, costoso, e non giustificato dalla domanda di ricerca attuale — sarebbe innovazione fine a se stessa).</w:t>
      </w:r>
    </w:p>
    <w:p>
      <w:pPr>
        <w:pStyle w:val="Heading2"/>
      </w:pPr>
      <w:r>
        <w:t>D.1 — TIRZEPATIDE-MASLD</w:t>
      </w:r>
    </w:p>
    <w:p>
      <w:r>
        <w:rPr>
          <w:b/>
        </w:rPr>
        <w:t>D.1.a — Coorte di confronto osservazionale (non randomizzata).</w:t>
      </w:r>
      <w:r>
        <w:t xml:space="preserve"> </w:t>
      </w:r>
      <w:r>
        <w:rPr>
          <w:i/>
        </w:rPr>
        <w:t>Beneficio atteso:</w:t>
      </w:r>
      <w:r>
        <w:t xml:space="preserve"> accuratezza diagnostica/causale, non innovazione tecnologica — è la modifica singola più importante per la credibilità dello studio. </w:t>
      </w:r>
      <w:r>
        <w:rPr>
          <w:i/>
        </w:rPr>
        <w:t>Motivazione:</w:t>
      </w:r>
      <w:r>
        <w:t xml:space="preserve"> discussa in C.1 (metodologo) e nell'executive summary. </w:t>
      </w:r>
      <w:r>
        <w:rPr>
          <w:i/>
        </w:rPr>
        <w:t>Fonte del principio</w:t>
      </w:r>
      <w:r>
        <w:t>: non deriva dalle slide di Zoppoli, ma dalla mia stessa analisi metodologica come PI; la cito qui perché è la precondizione logica prima di aggiungere qualunque strato traslazionale — senza un comparatore, anche il miglior biomarcatore liquido resta ancorato a un disegno before-after con gli stessi limiti causali.</w:t>
      </w:r>
    </w:p>
    <w:p>
      <w:r>
        <w:rPr>
          <w:b/>
        </w:rPr>
        <w:t>D.1.b — Biobanca liquida seriata a costo marginale quasi nullo (T0, T6, T12), usando la logistica "senza congelatore".</w:t>
      </w:r>
      <w:r>
        <w:t xml:space="preserve"> </w:t>
      </w:r>
      <w:r>
        <w:rPr>
          <w:i/>
        </w:rPr>
        <w:t>Beneficio atteso:</w:t>
      </w:r>
      <w:r>
        <w:t xml:space="preserve"> trasforma un prelievo ematico già previsto in un'infrastruttura riutilizzabile per analisi traslazionali presenti e future, senza aggiungere visite né procedure invasive aggiuntive per il paziente. </w:t>
      </w:r>
      <w:r>
        <w:rPr>
          <w:i/>
        </w:rPr>
        <w:t>Motivazione</w:t>
      </w:r>
      <w:r>
        <w:t xml:space="preserve">: il protocollo già preleva sangue a ogni time-point (sezione 8.8); aggiungere una provetta di sangue intero con reagente stabilizzante e una provetta di plasma con conservante da centrifugare successivamente (principio B.5) non richiede infrastruttura di congelamento immediato né personale aggiuntivo in sala prelievi. </w:t>
      </w:r>
      <w:r>
        <w:rPr>
          <w:i/>
        </w:rPr>
        <w:t>Onestà metodologica</w:t>
      </w:r>
      <w:r>
        <w:t>: questa è infrastruttura, non un endpoint; va accompagnata da un consenso informato specifico e separato per l'uso futuro del materiale (broad consent GDPR-compliant), e non deve essere presentata come se generasse automaticamente risultati.</w:t>
      </w:r>
    </w:p>
    <w:p>
      <w:r>
        <w:rPr>
          <w:b/>
        </w:rPr>
        <w:t>D.1.c — Frazione di cfDNA epatocitario come biomarcatore esplorativo di turnover/morte epatocitaria.</w:t>
      </w:r>
      <w:r>
        <w:t xml:space="preserve"> </w:t>
      </w:r>
      <w:r>
        <w:rPr>
          <w:i/>
        </w:rPr>
        <w:t>Beneficio atteso:</w:t>
      </w:r>
      <w:r>
        <w:t xml:space="preserve"> un biomarcatore meccanicisticamente distinto dagli indici ecografici indiretti già previsti (stiffness, fat fraction, dispersione), potenzialmente più sensibile a variazioni precoci di attività necro-infiammatoria rispetto a SWD, la cui validità clinica il protocollo stesso giudica ancora emergente (sezione 8.5). </w:t>
      </w:r>
      <w:r>
        <w:rPr>
          <w:i/>
        </w:rPr>
        <w:t>Motivazione scientifica</w:t>
      </w:r>
      <w:r>
        <w:t xml:space="preserve">: il principio tessuto-di-origine via metilazione del cfDNA è solidamente dimostrato (Lehmann-Werman et al., </w:t>
      </w:r>
      <w:r>
        <w:rPr>
          <w:i/>
        </w:rPr>
        <w:t>PNAS</w:t>
      </w:r>
      <w:r>
        <w:t xml:space="preserve"> 2016; atlante di riferimento Loyfer et al., </w:t>
      </w:r>
      <w:r>
        <w:rPr>
          <w:i/>
        </w:rPr>
        <w:t>Nature</w:t>
      </w:r>
      <w:r>
        <w:t xml:space="preserve"> 2023) e applicato con successo al danno d'organo in patologie non oncologiche come la sepsi (Lehmann-Werman et al., </w:t>
      </w:r>
      <w:r>
        <w:rPr>
          <w:i/>
        </w:rPr>
        <w:t>JCI Insight</w:t>
      </w:r>
      <w:r>
        <w:t xml:space="preserve"> 2018; You et al., </w:t>
      </w:r>
      <w:r>
        <w:rPr>
          <w:i/>
        </w:rPr>
        <w:t>Epigenetics</w:t>
      </w:r>
      <w:r>
        <w:t xml:space="preserve"> 2024). </w:t>
      </w:r>
      <w:r>
        <w:rPr>
          <w:i/>
        </w:rPr>
        <w:t>Livello di evidenza per l'applicazione specifica alla MASLD</w:t>
      </w:r>
      <w:r>
        <w:t xml:space="preserve">: </w:t>
      </w:r>
      <w:r>
        <w:rPr>
          <w:b/>
        </w:rPr>
        <w:t>basso/assente</w:t>
      </w:r>
      <w:r>
        <w:t xml:space="preserve"> — non ho reperito, nella ricerca condotta per questa revisione, studi che abbiano applicato la frazione di cfDNA epatocitario come biomarcatore longitudinale di risposta a terapia incretino-mimetica nella MASLD. Va quindi presentata esplicitamente come ipotesi esplorativa di prova di concetto, non come biomarcatore validato, in un sotto-studio pilota su un sottocampione (coerente con la logica already adottata per il sotto-studio di riproducibilità, sezione 8.9).</w:t>
      </w:r>
    </w:p>
    <w:p>
      <w:r>
        <w:rPr>
          <w:b/>
        </w:rPr>
        <w:t>D.1.d — Modulo trascrittomico ematico a basso costo (3' RNA-seq) come lettura esplorativa dell'infiammazione sistemica.</w:t>
      </w:r>
      <w:r>
        <w:t xml:space="preserve"> </w:t>
      </w:r>
      <w:r>
        <w:rPr>
          <w:i/>
        </w:rPr>
        <w:t>Beneficio atteso</w:t>
      </w:r>
      <w:r>
        <w:t xml:space="preserve">: la MASLD ha una componente di infiammazione metabolica sistemica di basso grado; un readout trascrittomico economico e ripetibile potrebbe correlare con la traiettoria della viscosità epatica (SWD) più precocemente della sola imaging, generando un'ipotesi per studi futuri. </w:t>
      </w:r>
      <w:r>
        <w:rPr>
          <w:i/>
        </w:rPr>
        <w:t>Motivazione</w:t>
      </w:r>
      <w:r>
        <w:t xml:space="preserve">: principio dimostrato nel contesto della risposta immunitaria a richiamo vaccinale (Ravera et al., </w:t>
      </w:r>
      <w:r>
        <w:rPr>
          <w:i/>
        </w:rPr>
        <w:t>Cell Rep</w:t>
      </w:r>
      <w:r>
        <w:t xml:space="preserve"> 2025), non nella MASLD — di nuovo, da dichiarare come estensione non ancora validata del principio, non come dato consolidato.</w:t>
      </w:r>
    </w:p>
    <w:p>
      <w:r>
        <w:rPr>
          <w:b/>
        </w:rPr>
        <w:t>D.1.e — Panel lipidomico/metabolomico mirato come sotto-studio traslazionale opzionale, condizionato a finanziamento/collaborazione dedicata.</w:t>
      </w:r>
      <w:r>
        <w:t xml:space="preserve"> </w:t>
      </w:r>
      <w:r>
        <w:rPr>
          <w:i/>
        </w:rPr>
        <w:t>Motivazione</w:t>
      </w:r>
      <w:r>
        <w:t xml:space="preserve">: la ricerca bibliografica indipendente condotta per questa revisione (Parte D.3, in attesa di conferma dall'agente di letteratura dedicato) e la ricognizione riportata dalle slide stesse del Prof. Zoppoli indicano una sproporzione marcata fra la letteratura su lipidomica/MASLD in generale e quella su metabolomica/lipidomica applicata specificamente alla tirzepatide nell'uomo. </w:t>
      </w:r>
      <w:r>
        <w:rPr>
          <w:i/>
        </w:rPr>
        <w:t>Livello di evidenza</w:t>
      </w:r>
      <w:r>
        <w:t>: osservazione bibliometrica, non clinica — è una motivazione per l'originalità di un sotto-studio, non per un'ipotesi di efficacia. Da NON includere come componente obbligatoria del protocollo primario (aggiungerebbe costo e complessità analitica non giustificati dalla domanda di ricerca principale), ma da proporre esplicitamente come espansione futura finanziabile (Parte L).</w:t>
      </w:r>
    </w:p>
    <w:p>
      <w:r>
        <w:rPr>
          <w:b/>
        </w:rPr>
        <w:t>D.1.f — Cosa NON integro, e perché.</w:t>
      </w:r>
      <w:r>
        <w:t xml:space="preserve"> Non propongo la spettrometria di massa genome-wide del metiloma (cfMeDIP-seq) su tutta la coorte: è il tipo di analisi che, nel lavoro di Zoppoli, è stata condotta su 7 pazienti selezionati in un contesto di risposta patologica completa post-chirurgica ben definita (Ravera et al., </w:t>
      </w:r>
      <w:r>
        <w:rPr>
          <w:i/>
        </w:rPr>
        <w:t>J Liq Biopsy</w:t>
      </w:r>
      <w:r>
        <w:t xml:space="preserve"> 2024) — un disegno concettualmente diverso da una coorte di 40 pazienti eterogenei per severità di malattia. Applicarlo qui sarebbe innovazione tecnologica non proporzionata alla domanda di ricerca e ai costi.</w:t>
      </w:r>
    </w:p>
    <w:p>
      <w:pPr>
        <w:pStyle w:val="Heading2"/>
      </w:pPr>
      <w:r>
        <w:t>D.2 — CEUS-DETECT</w:t>
      </w:r>
    </w:p>
    <w:p>
      <w:r>
        <w:rPr>
          <w:b/>
        </w:rPr>
        <w:t>D.2.a — Sotto-studio ancillare "CEUS-DETECT-AI": detection assistita da intelligenza artificiale sui filmati già archiviati.</w:t>
      </w:r>
      <w:r>
        <w:t xml:space="preserve"> </w:t>
      </w:r>
      <w:r>
        <w:rPr>
          <w:i/>
        </w:rPr>
        <w:t>Beneficio atteso</w:t>
      </w:r>
      <w:r>
        <w:t xml:space="preserve">: il protocollo già impone l'archiviazione completa dei filmati (sezione 6.3), la refertazione strutturata condivisa (sezione 6.6) e la rilettura centralizzata in cieco su un campione casuale del 20% (sezione 9.4) — è, di fatto, già il dataset annotato multicentrico che un progetto di intelligenza artificiale per la detection (il "secondo gradino" nella tassonomia di Zoppoli: rilevare e localizzare un reperto) richiederebbe, a condizione di aggiungere pochi campi strutturati aggiuntivi al CRF (sede/dimensione/sezione della lesione, come acquisita la diagnosi finale, operatore e sonda impiegati — principio B.1/B.4). </w:t>
      </w:r>
      <w:r>
        <w:rPr>
          <w:i/>
        </w:rPr>
        <w:t>Regole metodologiche da adottare esplicitamente</w:t>
      </w:r>
      <w:r>
        <w:t xml:space="preserve">, mutuate dal principio B.2: suddivisione train/validation/test per paziente, mai per singola clip; validazione esterna vera, su un centro genuinamente escluso dal training, non un semplice held-out set degli stessi centri. </w:t>
      </w:r>
      <w:r>
        <w:rPr>
          <w:i/>
        </w:rPr>
        <w:t>Dimensionamento realistico</w:t>
      </w:r>
      <w:r>
        <w:t xml:space="preserve">: sulla base degli ordini di grandezza empirici riportati da Zoppoli (≈1.000 esami per un compito di detection/localizzazione, principio B.4) e della numerosità già prevista per lo studio principale (350 pazienti nello strato A, più l'intera coorte all-comers retrospettiva, potenzialmente diverse migliaia di esami se il centro coordinatore esegue ≈20 CEUS/die), la base dati è plausibilmente sufficiente per un compito di detection, non per un compito di diagnosi differenziale completa, che richiederebbe un ordine di grandezza in più (≈10.000 esami) e quindi resta fuori scopo per questo sotto-studio. </w:t>
      </w:r>
      <w:r>
        <w:rPr>
          <w:i/>
        </w:rPr>
        <w:t>Governance</w:t>
      </w:r>
      <w:r>
        <w:t xml:space="preserve">: come discusso in B.9, il percorso etico-autorizzativo per l'uso secondario dei filmati deve aprirsi al mese 1, non a fine studio. </w:t>
      </w:r>
      <w:r>
        <w:rPr>
          <w:i/>
        </w:rPr>
        <w:t>Reporting</w:t>
      </w:r>
      <w:r>
        <w:t xml:space="preserve">: STARD-AI (Sounderajah et al., </w:t>
      </w:r>
      <w:r>
        <w:rPr>
          <w:i/>
        </w:rPr>
        <w:t>Nature Medicine</w:t>
      </w:r>
      <w:r>
        <w:t xml:space="preserve"> 2025;31(10):3283-3289), pubblicazione molto recente identificata nella ricerca bibliografica dedicata — è l'estensione di STARD 2015 specifica per studi di accuratezza diagnostica con componente di intelligenza artificiale, e si applica direttamente a questo sotto-studio.</w:t>
      </w:r>
    </w:p>
    <w:p>
      <w:r>
        <w:rPr>
          <w:b/>
        </w:rPr>
        <w:t>D.2.b — Standardizzazione dell'annotazione strutturata come requisito minimo del CRF, indipendentemente dal sotto-studio AI.</w:t>
      </w:r>
      <w:r>
        <w:t xml:space="preserve"> </w:t>
      </w:r>
      <w:r>
        <w:rPr>
          <w:i/>
        </w:rPr>
        <w:t>Beneficio atteso</w:t>
      </w:r>
      <w:r>
        <w:t xml:space="preserve">: anche se il sotto-studio AI non venisse mai eseguito, richiedere sistematicamente (sede della lesione, dimensione, sezione anatomica, come è stata ottenuta la diagnosi finale, operatore, modello di ecografo e sonda — principio B.1) rende l'archivio riutilizzabile per qualunque analisi futura, a costo di implementazione marginale perché il dato clinico esiste già nel referto. </w:t>
      </w:r>
      <w:r>
        <w:rPr>
          <w:i/>
        </w:rPr>
        <w:t>Motivazione</w:t>
      </w:r>
      <w:r>
        <w:t>: non richiede validazione di letteratura, è una scelta di data governance.</w:t>
      </w:r>
    </w:p>
    <w:p>
      <w:r>
        <w:rPr>
          <w:b/>
        </w:rPr>
        <w:t>D.2.c — Analisi separata di qualità/interpretabilità dell'esame per il sottogruppo pancreatico-biliare.</w:t>
      </w:r>
      <w:r>
        <w:t xml:space="preserve"> </w:t>
      </w:r>
      <w:r>
        <w:rPr>
          <w:i/>
        </w:rPr>
        <w:t>Beneficio atteso</w:t>
      </w:r>
      <w:r>
        <w:t xml:space="preserve">: previene un'interpretazione impropria di eventuali risultati favorevoli nella coorte non-CRC, se questi fossero trainati da tumori con anatomia epatica più favorevole (es. mammella) mentre il sottogruppo pancreatico-biliare (anatomia spesso alterata da chirurgia, finestra acustica sfavorevole) mostrasse performance sistematicamente inferiori. </w:t>
      </w:r>
      <w:r>
        <w:rPr>
          <w:i/>
        </w:rPr>
        <w:t>Motivazione</w:t>
      </w:r>
      <w:r>
        <w:t xml:space="preserve">: dato diretto e riproducibile (non un'estrapolazione) — la segmentazione del pancreas è risultata la peggiore fra gli organi addominali testati in un lavoro recente (Wang et al., </w:t>
      </w:r>
      <w:r>
        <w:rPr>
          <w:i/>
        </w:rPr>
        <w:t>Ultrasound Med Biol</w:t>
      </w:r>
      <w:r>
        <w:t xml:space="preserve"> 2026, in press — verifica bibliografica indipendente in Parte D.3), per ragioni fisiche (profondità, finestra acustica, operatore-dipendenza) che si applicano tanto alla detection assistita da AI quanto alla lettura umana convenzionale.</w:t>
      </w:r>
    </w:p>
    <w:p>
      <w:r>
        <w:rPr>
          <w:b/>
        </w:rPr>
        <w:t>D.2.d — Cosa NON integro, e perché.</w:t>
      </w:r>
      <w:r>
        <w:t xml:space="preserve"> Non propongo di estendere il protocollo a un endpoint di caratterizzazione diagnostica completa via AI (il "terzo gradino" di Zoppoli): richiederebbe un ordine di grandezza di dati che lo studio, per quanto multicentrico, non raggiunge nel periodo previsto (19 mesi), e sovrapporrebbe due studi con esigenze metodologiche e di validazione sostanzialmente diverse. Non propongo nemmeno un sotto-studio di liquid biopsy (cfDNA) collegato a CEUS-DETECT: sarebbe scientificamente coerente in astratto (il DNA epatico circolante potrebbe in teoria anticipare la comparsa di metastasi rilevabili per imaging) ma richiederebbe una biobanca oggi assente dal protocollo, un consenso dedicato, e resta a un livello di evidenza puramente speculativo — la propongo solo come espansione futura distinta e finanziabile a sé (Parte L), non come componente del protocollo attuale.</w:t>
      </w:r>
    </w:p>
    <w:p>
      <w:pPr>
        <w:pStyle w:val="Heading2"/>
      </w:pPr>
      <w:r>
        <w:t>D.3 — Verifica indipendente del gap di letteratura dichiarato dalle slide (item B.10)</w:t>
      </w:r>
    </w:p>
    <w:p>
      <w:r>
        <w:t xml:space="preserve">La ricerca bibliografica dedicata, condotta indipendentemente da questa revisione, conferma il gap </w:t>
      </w:r>
      <w:r>
        <w:rPr>
          <w:b/>
        </w:rPr>
        <w:t>con una correzione importante</w:t>
      </w:r>
      <w:r>
        <w:t xml:space="preserve">. Esiste effettivamente uno studio umano di metabolomica/lipidomica su tirzepatide (Pirro V, Roth KD, Lin Y, Willency JA, Milligan PL, Wilson JM. </w:t>
      </w:r>
      <w:r>
        <w:rPr>
          <w:i/>
        </w:rPr>
        <w:t>Effects of Tirzepatide, a Dual GIP and GLP-1 RA, on Lipid and Metabolite Profiles in Subjects With Type 2 Diabetes.</w:t>
      </w:r>
      <w:r>
        <w:t xml:space="preserve"> J Clin Endocrinol Metab. 2022;107(2):363–378), condotto però su una popolazione con diabete di tipo 2 generale, non su una coorte MASLD/MASH caratterizzata. Quando la ricerca è ristretta a metabolomica/lipidomica di tirzepatide </w:t>
      </w:r>
      <w:r>
        <w:rPr>
          <w:b/>
        </w:rPr>
        <w:t>applicata specificamente a MASLD/steatoepatite</w:t>
      </w:r>
      <w:r>
        <w:t xml:space="preserve">, l'unico lavoro reperito è uno studio preclinico murino (2025, PMID 39794823) — nessuno studio sull'uomo in questo dominio specifico. Il gap dichiarato dalle slide è dunque </w:t>
      </w:r>
      <w:r>
        <w:rPr>
          <w:b/>
        </w:rPr>
        <w:t>sostanzialmente corretto se riformulato con precisione</w:t>
      </w:r>
      <w:r>
        <w:t xml:space="preserve"> ("nessuno studio umano di metabolomica/lipidomica di tirzepatide focalizzato su MASLD/MASH"), non nella sua forma più generale. I numeri esatti citati nella slide (578 vs 13 lavori) non sono stati verificabili in modo indipendente per un blocco di rete verso PubMed riscontrato dall'agente di ricerca in questo ambiente; raccomando di ripetere la query PubMed direttamente prima di riportare quei numeri nel protocollo finale. Questo gap, così precisato, resta una motivazione bibliometrica legittima per proporre il sotto-studio lipidomico D.1.e come espansione futura — non come componente obbligatoria del protocollo attuale.</w:t>
      </w:r>
    </w:p>
    <w:p>
      <w:r>
        <w:t xml:space="preserve">Un secondo risultato della ricerca dedicata è più rilevante per il protocollo primario di quanto non lo sia la questione lipidomica: </w:t>
      </w:r>
      <w:r>
        <w:rPr>
          <w:b/>
        </w:rPr>
        <w:t>non esiste, a oggi, alcun RCT o studio prospettico pubblicato che utilizzi una tecnica ecografica quantitativa (2D-SWE, SWD, CAP/attenuazione, TAI/TSI) come biomarcatore longitudinale di risposta specificamente alla tirzepatide in MASLD/MASH.</w:t>
      </w:r>
      <w:r>
        <w:t xml:space="preserve"> Gli studi cardine su tirzepatide e fegato (SURPASS-3 MRI, SYNERGY-NASH) usano MRI-PDFF/MRE o biopsia; studi analoghi basati su elastografia a trasmissione transitoria (VCTE/FibroScan) esistono per la semaglutide (trial di fase 3 ESSENCE) ma non per la tirzepatide. Questo è il dato bibliografico più importante emerso dalla verifica: conferma, con evidenza diretta e non per assenza di ricerca, che il protocollo TIRZEPATIDE-MASLD occupa uno spazio di letteratura realmente vacante — probabilmente la rivendicazione di originalità più solida dell'intero studio, più forte della componente lipidomica esplorativa.</w:t>
      </w:r>
    </w:p>
    <w:p>
      <w:r>
        <w:t xml:space="preserve">Infine, la ricerca ha permesso di aggiornare in modo sostanziale due punti deboli della bibliografia originaria del protocollo, entrambi segnalati dagli stessi autori come "da verificare": le linee guida EFSUMB/WFUMB generiche vanno sostituite con il riferimento specifico e più recente </w:t>
      </w:r>
      <w:r>
        <w:rPr>
          <w:b/>
        </w:rPr>
        <w:t>WFUMB Guideline/Guidance on Liver Multiparametric Ultrasound</w:t>
      </w:r>
      <w:r>
        <w:t xml:space="preserve">, Parte 1 (elastografia) e Parte 2 (quantificazione del grasso epatico), </w:t>
      </w:r>
      <w:r>
        <w:rPr>
          <w:i/>
        </w:rPr>
        <w:t>Ultrasound Med Biol</w:t>
      </w:r>
      <w:r>
        <w:t xml:space="preserve"> 2024;50(8):1071–1087 e 1088–1098; e la cautela metodologica del protocollo sulla SWD come "non ancora validata clinicamente" può ora essere aggiornata citando lo </w:t>
      </w:r>
      <w:r>
        <w:rPr>
          <w:b/>
        </w:rPr>
        <w:t>studio iLEAD</w:t>
      </w:r>
      <w:r>
        <w:t xml:space="preserve"> (Sugimoto K, Moriyasu F, Dioguardi Burgio M, Vilgrain V, et al., </w:t>
      </w:r>
      <w:r>
        <w:rPr>
          <w:i/>
        </w:rPr>
        <w:t>Radiology</w:t>
      </w:r>
      <w:r>
        <w:t xml:space="preserve"> 2024;312(2):e233377), che ne documenta per la prima volta, in un disegno prospettico multicentrico con biopsia come riferimento, l'associazione con l'infiammazione lobulare istologica — un dato che rende la SWD un biomarcatore emergente con una prima validazione diretta, pur restando corretto continuare a trattarla come esplorativa nel disegno attuale.</w:t>
      </w:r>
    </w:p>
    <w:p>
      <w:r>
        <w:rPr>
          <w:b/>
        </w:rPr>
        <w:t>Ecografia multiparametrica epatica e vascolare nella valutazione della risposta a tirzepatide in pazienti con MASLD e sovrappeso/obesità, con coorte di confronto osservazionale e sotto-studio traslazionale ancillare su biomarcatori liquidi</w:t>
      </w:r>
    </w:p>
    <w:p>
      <w:r>
        <w:rPr>
          <w:i/>
        </w:rPr>
        <w:t>Studio di coorte prospettico, osservazionale, monocentrico, a due bracci non randomizzati (coorte tirzepatide e coorte di confronto)</w:t>
      </w:r>
    </w:p>
    <w:p>
      <w:r>
        <w:rPr>
          <w:b/>
        </w:rPr>
        <w:t>PROTOCOLLO DI STUDIO</w:t>
      </w:r>
    </w:p>
    <w:p>
      <w:r>
        <w:t>Versione 2.0 — revisione metodologica indipendente della v1.2, precedente la sottomissione al Comitato Etico</w:t>
      </w:r>
    </w:p>
    <w:p>
      <w:r>
        <w:t>Data: [inserire data]</w:t>
      </w:r>
    </w:p>
    <w:p>
      <w:r>
        <w:rPr>
          <w:b/>
        </w:rPr>
        <w:t>Sede dello studio:</w:t>
      </w:r>
    </w:p>
    <w:p>
      <w:r>
        <w:t>Programma Dipartimentale di Ecografia Interventistica, Diagnostica e Terapeutica</w:t>
      </w:r>
    </w:p>
    <w:p>
      <w:r>
        <w:t>Azienda Ospedaliero-Universitaria di Bologna (IRCCS)</w:t>
      </w:r>
    </w:p>
    <w:p>
      <w:r>
        <w:t>Sperimentatore Principale: [inserire nome]</w:t>
      </w:r>
    </w:p>
    <w:p>
      <w:r>
        <w:t>Co-investigatori: [inserire nomi]</w:t>
      </w:r>
    </w:p>
    <w:p>
      <w:r>
        <w:t>Registrazione prospettica su ClinicalTrials.gov prevista prima dell'avvio dell'arruolamento (sezione 12).</w:t>
      </w:r>
    </w:p>
    <w:p>
      <w:pPr>
        <w:pStyle w:val="Heading1"/>
      </w:pPr>
      <w:r>
        <w:t>Sommario</w:t>
      </w:r>
    </w:p>
    <w:p>
      <w:pPr>
        <w:pStyle w:val="Heading1"/>
      </w:pPr>
      <w:r>
        <w:t>1. Razionale e background scientifico</w:t>
      </w:r>
    </w:p>
    <w:p>
      <w:r>
        <w:t>La Metabolic dysfunction-Associated Steatotic Liver Disease (MASLD) è la patologia epatica cronica più diffusa nei paesi occidentali ed è strettamente associata a obesità, insulino-resistenza e diabete mellito di tipo 2, secondo la nomenclatura consensuale multisocietaria del 2023 [1] e le linee guida di gestione clinica EASL-EASD-EASO aggiornate nel 2024 [2]. La sua storia naturale è caratterizzata dall'accumulo di grasso intraepatico, dalla comparsa di infiammazione metabolica e, in una quota di pazienti, dalla progressione verso fibrosi epatica, con conseguente aumento del rischio cardiovascolare e della mortalità epato-correlata.</w:t>
      </w:r>
    </w:p>
    <w:p>
      <w:r>
        <w:t>Le tecniche di ecografia quantitativa multiparametrica hanno progressivamente ampliato le possibilità di caratterizzazione non invasiva della malattia epatica metabolica, secondo quanto ora formalizzato nelle linee guida WFUMB 2024 su ecografia multiparametrica epatica, articolate in una parte dedicata all'elastografia [3] e una alla quantificazione del grasso epatico [4]. La 2D-Shear Wave Elastography (2D-SWE) consente la stima quantitativa della stiffness epatica, surrogato della fibrosi; le tecniche di attenuazione ultrasonografica, quali il Tissue Attenuation Imaging (TAI) e il Tissue Scatter Distribution Imaging (TSI), permettono la quantificazione della steatosi mediante il calcolo della fat fraction epatica, con dati di validazione recenti verso MRI e verso il Controlled Attenuation Parameter (CAP) [5,6]; la Shear Wave Dispersion (SWD) fornisce infine una stima della viscosità tissutale, proposta come marcatore indiretto di attività necro-infiammatoria. Un ampio studio prospettico multicentrico internazionale con biopsia epatica come riferimento (iLEAD study) ha documentato, per la prima volta, un'associazione diretta fra la pendenza di dispersione (dispersion slope) e l'infiammazione lobulare istologica [7]: la performance riportata resta moderata e lo studio non riguarda pazienti in trattamento con incretino-mimetici, ma la SWD dispone oggi di una prima validazione istologica indipendente che non era disponibile alla stesura delle versioni precedenti di questo protocollo. L'impiego combinato di queste metodiche nello stesso esame costituisce l'approccio multiparametrico su cui si basa il presente protocollo.</w:t>
      </w:r>
    </w:p>
    <w:p>
      <w:r>
        <w:t>La tirzepatide, agonista duale dei recettori GIP e GLP-1, è approvata per il trattamento dell'obesità e del diabete mellito di tipo 2 e ha dimostrato un'efficacia marcata nel determinare calo ponderale e miglioramento del profilo metabolico. Studi randomizzati controllati hanno documentato un effetto favorevole sul contenuto di grasso epatico misurato mediante risonanza magnetica: nel sottostudio di risonanza magnetica dello studio SURPASS-3, la tirzepatide ha determinato una riduzione del contenuto di grasso epatico significativamente maggiore rispetto a insulina degludec, correlata alla riduzione del peso corporeo e del tessuto adiposo viscerale [8]. Nello studio di fase 2 SYNERGY-NASH, condotto in 190 pazienti con steatoepatite metabolica e fibrosi bioptica-provata (stadio F2/F3), la tirzepatide ha determinato la risoluzione istologica della steatoepatite senza peggioramento della fibrosi nel 44–62% dei pazienti trattati (secondo la dose) contro il 10% del braccio placebo, e un miglioramento di almeno uno stadio di fibrosi nel 51–55% contro il 30% del placebo [9]. Un programma di fase 3 (SYNERGY-OUTCOMES), volto a verificare la prevenzione di esiti epatici avversi maggiori in pazienti con MASLD/MASH ad alto rischio trattati con tirzepatide o retatrutide, è attualmente in corso di reclutamento; non sono al momento disponibili risultati pubblicati, e il presente protocollo non fa né deve fare affidamento su dati di efficacia di fase 3 non ancora esistenti.</w:t>
      </w:r>
    </w:p>
    <w:p>
      <w:r>
        <w:t xml:space="preserve">I dati relativi all'impiego di tecniche ecografiche quantitative — anziché risonanza magnetica — per il monitoraggio longitudinale della risposta epatica alla tirzepatide restano invece limitati: </w:t>
      </w:r>
      <w:r>
        <w:rPr>
          <w:b/>
        </w:rPr>
        <w:t>una ricognizione bibliografica mirata alla letteratura 2021–2026, condotta in fase di revisione di questo protocollo, non ha reperito alcuno studio pubblicato che utilizzi una tecnica ecografica quantitativa (2D-SWE, SWD, CAP, TAI/TSI) come biomarcatore di risposta longitudinale specificamente alla tirzepatide.</w:t>
      </w:r>
      <w:r>
        <w:t xml:space="preserve"> Gli studi cardine (SURPASS-3 MRI, SYNERGY-NASH) si basano su risonanza magnetica o biopsia; studi analoghi basati su elastografia a trasmissione transitoria esistono per la semaglutide (trial di fase 3 ESSENCE) ma non per la tirzepatide. L'ecografia multiparametrica rappresenta una metodica più accessibile, ripetibile e a basso costo rispetto alla risonanza magnetica, e la sua validazione in questo contesto clinico — che allo stato della letteratura verificata rappresenta uno spazio di ricerca effettivamente vacante — avrebbe una ricaduta pratica diretta sul monitoraggio terapeutico dei pazienti con MASLD in trattamento con farmaci incretino-mimetici.</w:t>
      </w:r>
    </w:p>
    <w:p>
      <w:r>
        <w:t>Un secondo filone di evidenze, più recente e di natura prevalentemente osservazionale retrospettiva, suggerisce un possibile effetto favorevole degli agonisti del recettore del GLP-1, inclusa la tirzepatide, sugli esiti vascolari periferici. Un'analisi di coorte con propensity matching su un ampio database sanitario reale (TriNetX), condotta su 8.046 pazienti con arteriopatia periferica e diabete, ha riportato un hazard ratio di 0,44 (IC95% 0,33–0,59) per gli eventi avversi maggiori a carico degli arti (major adverse limb events, MALE) nei pazienti trattati con tirzepatide rispetto a controlli non trattati [10]; un secondo studio su oltre 100.000 pazienti con arteriopatia periferica moderata ha confermato una minore incidenza di eventi cardiovascolari e di arto maggiori negli utilizzatori di agonisti del recettore GLP-1 [11]. Si tratta tuttavia di dati di natura retrospettiva e osservazionale, non derivati da trial randomizzati controllati, che giustificano l'inclusione di una valutazione vascolare strutturale (Ankle-Brachial Index ed ecocolorDoppler arterioso degli arti inferiori) come obiettivo secondario ed esplorativo del presente studio, senza alcuna pretesa di dimostrare un nesso causale.</w:t>
      </w:r>
    </w:p>
    <w:p>
      <w:pPr>
        <w:pStyle w:val="Heading1"/>
      </w:pPr>
      <w:r>
        <w:t>2. Ipotesi di ricerca</w:t>
      </w:r>
    </w:p>
    <w:p>
      <w:r>
        <w:t>Si ipotizza che il trattamento con tirzepatide determini, rispetto al basale e rispetto a una coorte di confronto di pazienti con MASLD comparabile non trattata con tirzepatide (sezione 4), un miglioramento significativo dei biomarcatori ecografici quantitativi di malattia epatica — riduzione della fat fraction epatica (TAI/TSI), della stiffness epatica (2D-SWE) e della viscosità tissutale (SWD) — correlato al calo ponderale e al miglioramento del profilo metabolico. Si ipotizza inoltre, in maniera esplorativa, che nel sottogruppo di pazienti con arteriopatia periferica concomitante il trattamento possa associarsi a un miglioramento dei parametri emodinamici vascolari periferici, e che un sottoinsieme di pazienti possa mostrare variazioni di biomarcatori liquidi emergenti (frazione di cfDNA epatocitario, moduli trascrittomici ematici, sezione 8.10) coerenti con la traiettoria dei biomarcatori ecografici, a supporto della plausibilità biologica di un effetto epatico diretto. Questa ultima componente è dichiaratamente generatrice di ipotesi, non confermativa.</w:t>
      </w:r>
    </w:p>
    <w:p>
      <w:pPr>
        <w:pStyle w:val="Heading1"/>
      </w:pPr>
      <w:r>
        <w:t>3. Obiettivi dello studio</w:t>
      </w:r>
    </w:p>
    <w:p>
      <w:pPr>
        <w:pStyle w:val="Heading2"/>
      </w:pPr>
      <w:r>
        <w:t>3.1 Obiettivo primario</w:t>
      </w:r>
    </w:p>
    <w:p>
      <w:r>
        <w:t xml:space="preserve">Valutare la differenza, tra la coorte in trattamento con tirzepatide e la coorte di confronto (sezione 4), della variazione della fat fraction epatica misurata mediante attenuazione ultrasonografica (TAI/TSI) tra il basale (T0) e i 6 mesi (T6), mediante un'analisi </w:t>
      </w:r>
      <w:r>
        <w:rPr>
          <w:i/>
        </w:rPr>
        <w:t>difference-in-differences</w:t>
      </w:r>
      <w:r>
        <w:t>. L'analisi within-subject della sola coorte tirzepatide (T0 vs T6), coincidente con l'endpoint primario della versione precedente di questo protocollo, è mantenuta come analisi secondaria di continuità.</w:t>
      </w:r>
    </w:p>
    <w:p>
      <w:pPr>
        <w:pStyle w:val="Heading2"/>
      </w:pPr>
      <w:r>
        <w:t>3.2 Obiettivi secondari</w:t>
      </w:r>
    </w:p>
    <w:p>
      <w:r>
        <w:t>Gli obiettivi secondari riguardano la caratterizzazione epatica e metabolica, per i quali lo studio è ragionevolmente dimensionato (cfr. sezione 10).</w:t>
      </w:r>
    </w:p>
    <w:p>
      <w:pPr>
        <w:pStyle w:val="ListBullet"/>
      </w:pPr>
      <w:r>
        <w:t>Valutare la variazione della fat fraction epatica a 12 mesi (T12) e la sua traiettoria temporale (T0 → T6 → T12), in entrambi i bracci.</w:t>
      </w:r>
    </w:p>
    <w:p>
      <w:pPr>
        <w:pStyle w:val="ListBullet"/>
      </w:pPr>
      <w:r>
        <w:t>Valutare la variazione della stiffness epatica e splenica (2D-SWE) e della viscosità epatica e splenica (SWD) tra T0, T6 e T12, in entrambi i bracci.</w:t>
      </w:r>
    </w:p>
    <w:p>
      <w:pPr>
        <w:pStyle w:val="ListBullet"/>
      </w:pPr>
      <w:r>
        <w:t>Valutare la relazione tra variazione dei parametri ecografici epatici e variazione del peso corporeo, della composizione corporea (bioimpedenziometria) e del profilo metabolico (lipidico, glicemico, emoglobina glicata).</w:t>
      </w:r>
    </w:p>
    <w:p>
      <w:pPr>
        <w:pStyle w:val="ListBullet"/>
      </w:pPr>
      <w:r>
        <w:t>Valutare la variazione dei parametri antropometrici (peso, BMI, circonferenza vita) e pressori tra T0, T6 e T12.</w:t>
      </w:r>
    </w:p>
    <w:p>
      <w:pPr>
        <w:pStyle w:val="ListBullet"/>
      </w:pPr>
      <w:r>
        <w:t>Valutare la riproducibilità intra- e inter-operatore delle misurazioni ecografiche quantitative (2D-SWE, TAI/TSI, SWD) in un sottocampione dedicato (cfr. sezione 8.9).</w:t>
      </w:r>
    </w:p>
    <w:p>
      <w:pPr>
        <w:pStyle w:val="ListBullet"/>
      </w:pPr>
      <w:r>
        <w:t>Valutare la sicurezza e la tollerabilità del trattamento con tirzepatide nella coorte in studio.</w:t>
      </w:r>
    </w:p>
    <w:p>
      <w:pPr>
        <w:pStyle w:val="ListBullet"/>
      </w:pPr>
      <w:r>
        <w:rPr>
          <w:b/>
        </w:rPr>
        <w:t>Analisi *responder*:</w:t>
      </w:r>
      <w:r>
        <w:t xml:space="preserve"> valutare la proporzione di pazienti con riduzione relativa della fat fraction epatica ≥30% a T6 e a T12, soglia storicamente associata a miglioramento istologico concomitante nella letteratura basata su MRI-PDFF [8,9], riportata accanto alla variazione continua per fornire un'ancora di rilevanza clinica accanto alla significatività statistica, e confrontata fra i due bracci.</w:t>
      </w:r>
    </w:p>
    <w:p>
      <w:pPr>
        <w:pStyle w:val="ListBullet"/>
      </w:pPr>
      <w:r>
        <w:rPr>
          <w:b/>
        </w:rPr>
        <w:t>Stratificazione per fibrosi basale:</w:t>
      </w:r>
      <w:r>
        <w:t xml:space="preserve"> confrontare la traiettoria dei biomarcatori ecografici fra pazienti con fibrosi lieve (F0–F1 per 2D-SWE) e fibrosi significativa (≥F2) al basale.</w:t>
      </w:r>
    </w:p>
    <w:p>
      <w:pPr>
        <w:pStyle w:val="ListBullet"/>
      </w:pPr>
      <w:r>
        <w:rPr>
          <w:b/>
        </w:rPr>
        <w:t>Qualità di vita e sintomatologia gastrointestinale:</w:t>
      </w:r>
      <w:r>
        <w:t xml:space="preserve"> valutare la variazione di un questionario validato di sintomi gastrointestinali (sezione 8.1) tra T0, T6 e T12, e la sua correlazione con l'aderenza al trattamento e con la traiettoria dei biomarcatori epatici.</w:t>
      </w:r>
    </w:p>
    <w:p>
      <w:pPr>
        <w:pStyle w:val="ListBullet"/>
      </w:pPr>
      <w:r>
        <w:rPr>
          <w:b/>
        </w:rPr>
        <w:t>Reperti strutturati alla colecisti:</w:t>
      </w:r>
      <w:r>
        <w:t xml:space="preserve"> descrivere sistematicamente la presenza di calcolosi, sludge o segni di colecistite a ogni time-point, come parametro di sicurezza, non solo come reperto incidentale.</w:t>
      </w:r>
    </w:p>
    <w:p>
      <w:pPr>
        <w:pStyle w:val="Heading2"/>
      </w:pPr>
      <w:r>
        <w:t>3.3 Obiettivi esplorativi — sotto-studio vascolare ancillare</w:t>
      </w:r>
    </w:p>
    <w:p>
      <w:r>
        <w:rPr>
          <w:i/>
        </w:rPr>
        <w:t>Gli obiettivi che seguono costituiscono un sotto-studio esplorativo e ancillare rispetto all'obiettivo primario epatico. Il campione non è dimensionato su questi obiettivi (cfr. sezione 10): i risultati vanno interpretati come generatori di ipotesi, non come prova confermativa di un effetto vascolare della tirzepatide.</w:t>
      </w:r>
    </w:p>
    <w:p>
      <w:pPr>
        <w:pStyle w:val="ListBullet"/>
      </w:pPr>
      <w:r>
        <w:t>Valutare la variazione dell'Ankle-Brachial Index (ABI) e dei parametri emodinamici ecocolorDoppler degli arti inferiori (velocità sistolica di picco, velocità telediastolica, indici di resistenza e pulsatilità, grado di stenosi) tra T0 e T12, nel sottogruppo pre-specificato di pazienti con arteriopatia periferica nota, oppure ABI basale &lt;0,9 o &gt;1,3, oppure evidenza ecocolorDoppler di stenosi ≥50% in almeno un asse arterioso degli arti inferiori al basale.</w:t>
      </w:r>
    </w:p>
    <w:p>
      <w:pPr>
        <w:pStyle w:val="ListBullet"/>
      </w:pPr>
      <w:r>
        <w:t>Descrivere, in maniera puramente descrittiva data l'attesa ridotta potenza statistica, l'incidenza di eventi clinici correlati ad arteriopatia periferica (major adverse limb events) e di eventi cardiovascolari maggiori nel corso del follow-up.</w:t>
      </w:r>
    </w:p>
    <w:p>
      <w:pPr>
        <w:pStyle w:val="Heading2"/>
      </w:pPr>
      <w:r>
        <w:t>3.4 Obiettivi esplorativi — sotto-studio traslazionale ancillare su biomarcatori liquidi</w:t>
      </w:r>
    </w:p>
    <w:p>
      <w:r>
        <w:rPr>
          <w:i/>
        </w:rPr>
        <w:t>Gli obiettivi che seguono costituiscono un sotto-studio di prova di concetto, condotto su un sottocampione con consenso dedicato (sezione 8.10). Nessuno dei biomarcatori impiegati è validato, nella letteratura verificata in fase di revisione di questo protocollo, come marcatore di risposta a terapia incretino-mimetica nella MASLD: i risultati sono generatori di ipotesi per un futuro studio dedicato, non una validazione.</w:t>
      </w:r>
    </w:p>
    <w:p>
      <w:pPr>
        <w:pStyle w:val="ListBullet"/>
      </w:pPr>
      <w:r>
        <w:t>Descrivere la variazione della frazione di cfDNA epatocitario (stimata mediante metilazione tessuto-specifica del DNA circolante libero) tra T0, T6 e T12, e la sua correlazione esplorativa con la variazione di SWD e di fat fraction epatica.</w:t>
      </w:r>
    </w:p>
    <w:p>
      <w:pPr>
        <w:pStyle w:val="ListBullet"/>
      </w:pPr>
      <w:r>
        <w:t>Descrivere la variazione di moduli trascrittomici ematici associati a infiammazione sistemica (profilo RNA-seq 3′ a basso costo) tra T0, T6 e T12, e la sua correlazione esplorativa con i biomarcatori epatici.</w:t>
      </w:r>
    </w:p>
    <w:p>
      <w:pPr>
        <w:pStyle w:val="Heading1"/>
      </w:pPr>
      <w:r>
        <w:t>4. Disegno dello studio</w:t>
      </w:r>
    </w:p>
    <w:p>
      <w:r>
        <w:t xml:space="preserve">Studio di coorte, prospettico, osservazionale, monocentrico, </w:t>
      </w:r>
      <w:r>
        <w:rPr>
          <w:b/>
        </w:rPr>
        <w:t>a due bracci non randomizzati</w:t>
      </w:r>
      <w:r>
        <w:t xml:space="preserve">: (i) </w:t>
      </w:r>
      <w:r>
        <w:rPr>
          <w:b/>
        </w:rPr>
        <w:t>coorte tirzepatide</w:t>
      </w:r>
      <w:r>
        <w:t xml:space="preserve">, costituita da pazienti candidati al trattamento con tirzepatide per indicazione clinica posta dal medico curante, indipendentemente dallo studio, secondo la pratica clinica corrente e la scheda tecnica del farmaco; (ii) </w:t>
      </w:r>
      <w:r>
        <w:rPr>
          <w:b/>
        </w:rPr>
        <w:t>coorte di confronto</w:t>
      </w:r>
      <w:r>
        <w:t xml:space="preserve">, costituita da pazienti con MASLD che soddisfano gli stessi criteri di inclusione/esclusione (sezione 5) ma per i quali, nello stesso periodo, il medico curante non pone indicazione a terapia con tirzepatide o altro agonista GLP-1/GIP (ad esempio perché in gestione con sola dieta e attività fisica). L'assegnazione al braccio non è randomizzata in nessuno dei due gruppi e riflette, in entrambi i casi, una decisione clinica indipendente dallo studio. Le valutazioni cliniche, ecografiche e laboratoristiche vengono eseguite, in entrambi i bracci, in tre momenti — basale (T0), 6 mesi (T6) e 12 mesi (T12) — con la stessa metodologia, e confrontate sia mediante analisi within-subject sia mediante analisi </w:t>
      </w:r>
      <w:r>
        <w:rPr>
          <w:i/>
        </w:rPr>
        <w:t>difference-in-differences</w:t>
      </w:r>
      <w:r>
        <w:t xml:space="preserve"> fra i due bracci.</w:t>
      </w:r>
    </w:p>
    <w:p>
      <w:r>
        <w:rPr>
          <w:i/>
        </w:rPr>
        <w:t>Nota metodologica: l'assenza di randomizzazione non elimina il rischio di confondimento per indicazione — i pazienti dei due bracci possono differire sistematicamente per severità di malattia, comorbidità o motivazione, in modi non completamente catturabili dalle covariate misurate. Rispetto a un disegno a braccio singolo before-after, tuttavia, l'introduzione di una coorte di confronto consente due miglioramenti sostanziali: un'analisi difference-in-differences, che rimuove la componente di variazione comune ai due bracci (regressione verso la media, effetto dell'osservazione ripetuta, andamento stagionale) senza richiedere randomizzazione; e un aggiustamento mediante propensity score sulle covariate basali misurate (età, sesso, BMI, stadio di fibrosi, emoglobina glicata, comorbidità cardiometaboliche), che permette una stima condizionale dell'effetto anziché puramente descrittiva. Il limite residuo — confondimento da variabili non misurate — è dichiarato esplicitamente nella sezione 15 e non è presentato come risolto. Questo disegno a due bracci osservazionali resta comunque un livello di evidenza inferiore a un trial randomizzato controllato, e i risultati vanno interpretati di conseguenza.</w:t>
      </w:r>
    </w:p>
    <w:p>
      <w:pPr>
        <w:pStyle w:val="Heading1"/>
      </w:pPr>
      <w:r>
        <w:t>5. Popolazione dello studio</w:t>
      </w:r>
    </w:p>
    <w:p>
      <w:pPr>
        <w:pStyle w:val="Heading2"/>
      </w:pPr>
      <w:r>
        <w:t>5.1 Criteri di inclusione</w:t>
      </w:r>
    </w:p>
    <w:p>
      <w:pPr>
        <w:pStyle w:val="ListBullet"/>
      </w:pPr>
      <w:r>
        <w:t>Età compresa tra 18 e 65 anni, ambo i sessi.</w:t>
      </w:r>
    </w:p>
    <w:p>
      <w:pPr>
        <w:pStyle w:val="ListBullet"/>
      </w:pPr>
      <w:r>
        <w:t>BMI compreso tra 27 e 50 kg/m².</w:t>
      </w:r>
    </w:p>
    <w:p>
      <w:pPr>
        <w:pStyle w:val="ListBullet"/>
      </w:pPr>
      <w:r>
        <w:t>MASLD documentata al basale, secondo la definizione del consenso Delphi multisocietario [7]: steatosi epatica evidenziata all'ecografia B-mode e confermata da un valore di attenuazione ultrasonografica (TAI) superiore alla soglia locale di normalità adottata dal centro, in presenza di almeno 1 dei 5 criteri cardiometabolici previsti dal consenso (sovrappeso/obesità, glicemia alterata a digiuno/prediabete/diabete di tipo 2, pressione arteriosa elevata o terapia antiipertensiva, trigliceridi elevati o terapia ipolipemizzante, colesterolo HDL ridotto).</w:t>
      </w:r>
    </w:p>
    <w:p>
      <w:pPr>
        <w:pStyle w:val="ListBullet"/>
      </w:pPr>
      <w:r>
        <w:t>Indicazione clinica all'avvio di terapia con tirzepatide, posta dal medico curante indipendentemente dallo studio.</w:t>
      </w:r>
    </w:p>
    <w:p>
      <w:pPr>
        <w:pStyle w:val="ListBullet"/>
      </w:pPr>
      <w:r>
        <w:t>Terapia farmacologica concomitante stabile da almeno 3 mesi.</w:t>
      </w:r>
    </w:p>
    <w:p>
      <w:pPr>
        <w:pStyle w:val="ListBullet"/>
      </w:pPr>
      <w:r>
        <w:t>Consenso informato scritto alla partecipazione allo studio e al trattamento dei dati personali.</w:t>
      </w:r>
    </w:p>
    <w:p>
      <w:pPr>
        <w:pStyle w:val="Heading2"/>
      </w:pPr>
      <w:r>
        <w:t>5.2 Criteri di esclusione</w:t>
      </w:r>
    </w:p>
    <w:p>
      <w:pPr>
        <w:pStyle w:val="ListBullet"/>
      </w:pPr>
      <w:r>
        <w:t>Età inferiore a 18 o superiore a 65 anni.</w:t>
      </w:r>
    </w:p>
    <w:p>
      <w:pPr>
        <w:pStyle w:val="ListBullet"/>
      </w:pPr>
      <w:r>
        <w:t>BMI inferiore a 27 o superiore a 50 kg/m².</w:t>
      </w:r>
    </w:p>
    <w:p>
      <w:pPr>
        <w:pStyle w:val="ListBullet"/>
      </w:pPr>
      <w:r>
        <w:t>Epatopatie di natura non metabolica (virale, autoimmune, da accumulo, tossica).</w:t>
      </w:r>
    </w:p>
    <w:p>
      <w:pPr>
        <w:pStyle w:val="ListBullet"/>
      </w:pPr>
      <w:r>
        <w:t>Consumo abituale e significativo di alcol (&gt;30 g/die nell'uomo, &gt;20 g/die nella donna).</w:t>
      </w:r>
    </w:p>
    <w:p>
      <w:pPr>
        <w:pStyle w:val="ListBullet"/>
      </w:pPr>
      <w:r>
        <w:t>Insufficienza renale cronica con eGFR &lt;30 ml/min/1,73 m².</w:t>
      </w:r>
    </w:p>
    <w:p>
      <w:pPr>
        <w:pStyle w:val="ListBullet"/>
      </w:pPr>
      <w:r>
        <w:t>Presenza di pace-maker o altro dispositivo elettronico impiantabile (controindicazione relativa alla bioimpedenziometria).</w:t>
      </w:r>
    </w:p>
    <w:p>
      <w:pPr>
        <w:pStyle w:val="ListBullet"/>
      </w:pPr>
      <w:r>
        <w:t>Forme secondarie o sindromiche di obesità.</w:t>
      </w:r>
    </w:p>
    <w:p>
      <w:pPr>
        <w:pStyle w:val="ListBullet"/>
      </w:pPr>
      <w:r>
        <w:t>Gravidanza o allattamento.</w:t>
      </w:r>
    </w:p>
    <w:p>
      <w:pPr>
        <w:pStyle w:val="ListBullet"/>
      </w:pPr>
      <w:r>
        <w:t>Storia personale o familiare di carcinoma midollare della tiroide o sindrome MEN2.</w:t>
      </w:r>
    </w:p>
    <w:p>
      <w:pPr>
        <w:pStyle w:val="ListBullet"/>
      </w:pPr>
      <w:r>
        <w:t>Trattamento con altro agonista del recettore del GLP-1 (es. semaglutide, liraglutide, dulaglutide, exenatide) nei 3 mesi precedenti l'arruolamento, per evitare che il basale rifletta già un effetto epatico residuo di una precedente terapia incretino-mimetica.</w:t>
      </w:r>
    </w:p>
    <w:p>
      <w:pPr>
        <w:pStyle w:val="ListBullet"/>
      </w:pPr>
      <w:r>
        <w:t>Pregressa chirurgia bariatrica.</w:t>
      </w:r>
    </w:p>
    <w:p>
      <w:pPr>
        <w:pStyle w:val="ListBullet"/>
      </w:pPr>
      <w:r>
        <w:t>Neoplasia attiva in trattamento.</w:t>
      </w:r>
    </w:p>
    <w:p>
      <w:pPr>
        <w:pStyle w:val="ListBullet"/>
      </w:pPr>
      <w:r>
        <w:t>Mancato consenso a partecipare allo studio.</w:t>
      </w:r>
    </w:p>
    <w:p>
      <w:pPr>
        <w:pStyle w:val="Heading2"/>
      </w:pPr>
      <w:r>
        <w:t>5.3 Criteri specifici del braccio di confronto</w:t>
      </w:r>
    </w:p>
    <w:p>
      <w:pPr>
        <w:pStyle w:val="ListBullet"/>
      </w:pPr>
      <w:r>
        <w:t>Assenza di indicazione clinica posta dal medico curante, nello stesso periodo di osservazione, a terapia con tirzepatide o altro agonista del recettore GLP-1/GIP.</w:t>
      </w:r>
    </w:p>
    <w:p>
      <w:pPr>
        <w:pStyle w:val="ListBullet"/>
      </w:pPr>
      <w:r>
        <w:t>Assenza di intervento dello studio nella decisione terapeutica: i pazienti del braccio di confronto proseguono la gestione clinica ordinaria della MASLD (dieta, attività fisica, eventuale terapia delle comorbidità), decisa indipendentemente dallo studio.</w:t>
      </w:r>
    </w:p>
    <w:p>
      <w:pPr>
        <w:pStyle w:val="ListBullet"/>
      </w:pPr>
      <w:r>
        <w:t>Reclutamento consecutivo, presso lo stesso Programma di Ecografia, fra i pazienti inviati per valutazione di MASLD che non risultano candidati a terapia incretino-mimetica nel periodo di arruolamento, per minimizzare la selezione differenziale fra i due bracci.</w:t>
      </w:r>
    </w:p>
    <w:p>
      <w:pPr>
        <w:pStyle w:val="Heading1"/>
      </w:pPr>
      <w:r>
        <w:t>6. Sede dello studio e reclutamento</w:t>
      </w:r>
    </w:p>
    <w:p>
      <w:r>
        <w:t>Lo studio sarà condotto presso il Programma Dipartimentale di Ecografia Interventistica, Diagnostica e Terapeutica dell'Azienda Ospedaliero-Universitaria di Bologna (IRCCS). I pazienti della coorte tirzepatide saranno reclutati in maniera consecutiva tra quelli inviati alla struttura per la valutazione ecografica basale in previsione dell'avvio di terapia con tirzepatide, prescritta secondo la pratica clinica corrente dal/dai servizio/i prescrittore/i dell'Azienda; i pazienti della coorte di confronto saranno reclutati, nello stesso periodo e presso la stessa struttura, fra i pazienti inviati per valutazione di MASLD che soddisfano i criteri di sezione 5 ma non risultano candidati a terapia incretino-mimetica (sezione 5.3).</w:t>
      </w:r>
    </w:p>
    <w:p>
      <w:r>
        <w:rPr>
          <w:i/>
        </w:rPr>
        <w:t>Punto da definire prima dell'avvio dell'arruolamento: il protocollo assume l'esistenza di un percorso strutturato di invio tra il/i servizio/i che prescrive/prescrivono la tirzepatide (ad es. diabetologia, endocrinologia, medicina interna) e il Programma di Ecografia. Poiché lo studio è stato ricondotto alla sola sede di Bologna, tale percorso — assente nella stesura originaria, che faceva riferimento al centro per l'obesità di Ferrara — deve essere identificato e formalizzato con il/i reparto/i prescrittore/i bolognese/i, indicando nominativamente la struttura di riferimento, per entrambi i bracci dello studio.</w:t>
      </w:r>
    </w:p>
    <w:p>
      <w:pPr>
        <w:pStyle w:val="Heading1"/>
      </w:pPr>
      <w:r>
        <w:t>7. Procedure e timeline dello studio</w:t>
      </w:r>
    </w:p>
    <w:p>
      <w:r>
        <w:rPr>
          <w:b/>
        </w:rPr>
        <w:t>T0 (basale — entro le 2 settimane precedenti l'avvio di tirzepatide per la coorte tirzepatide; corrispondente arruolamento per la coorte di confronto):</w:t>
      </w:r>
      <w:r>
        <w:t xml:space="preserve"> raccolta anamnestica, questionario di autovalutazione, questionario validato di sintomi gastrointestinali, parametri antropometrici, pressione arteriosa e frequenza cardiaca, bioimpedenziometria, prelievo ematico, ecografia multiparametrica addominale completa (B-mode con valutazione strutturata della colecisti, Color Doppler, 2D-SWE, TAI/TSI, SWD epatica e splenica), ABI, ecocolorDoppler arterioso degli arti inferiori, acquisizione del consenso informato specifico e distinto per il sotto-studio traslazionale ancillare (sezione 8.10, opzionale). Qualora l'avvio effettivo della tirzepatide sia ritardato oltre 4 settimane dalla valutazione T0, la valutazione basale sarà ripetuta prima dell'inizio della terapia.</w:t>
      </w:r>
    </w:p>
    <w:p>
      <w:r>
        <w:rPr>
          <w:b/>
        </w:rPr>
        <w:t>T6 (6 mesi ± 2 settimane):</w:t>
      </w:r>
      <w:r>
        <w:t xml:space="preserve"> ripetizione di tutte le valutazioni di T0, incluso il questionario di sintomi gastrointestinali, ad eccezione del questionario di autovalutazione iniziale.</w:t>
      </w:r>
    </w:p>
    <w:p>
      <w:r>
        <w:rPr>
          <w:b/>
        </w:rPr>
        <w:t>T12 (12 mesi ± 2 settimane):</w:t>
      </w:r>
      <w:r>
        <w:t xml:space="preserve"> ripetizione di tutte le valutazioni di T0, incluso il questionario di sintomi gastrointestinali.</w:t>
      </w:r>
    </w:p>
    <w:p>
      <w:r>
        <w:t>Tutte le valutazioni sono eseguite con identica metodologia in entrambi i bracci dello studio (coorte tirzepatide e coorte di confronto).</w:t>
      </w:r>
    </w:p>
    <w:p>
      <w:r>
        <w:rPr>
          <w:b/>
        </w:rPr>
        <w:t>Visite cliniche trimestrali (T3, T9):</w:t>
      </w:r>
      <w:r>
        <w:t xml:space="preserve"> peso, BMI, circonferenza vita e fianchi, rilevazione di eventuali effetti collaterali, secondo la normale pratica di follow-up clinico della terapia; non comportano esecuzione di esami ecografici dedicati allo studio.</w:t>
      </w:r>
    </w:p>
    <w:p>
      <w:r>
        <w:t>La titolazione della dose di tirzepatide non è definita dal protocollo, ma segue il giudizio clinico del medico prescrittore in accordo con la scheda tecnica del farmaco, trattandosi di uno studio osservazionale su terapia già indicata indipendentemente dalla partecipazione allo studio.</w:t>
      </w:r>
    </w:p>
    <w:p>
      <w:r>
        <w:t>Trattandosi di uno studio osservazionale con coorte di confronto non randomizzata, ad ogni time-point (T0, T6, T12), in entrambi i bracci, saranno inoltre raccolte, come covariate per l'analisi multivariata e per il calcolo del propensity score (cfr. sezione 11), le principali variabili potenzialmente confondenti: dose di tirzepatide raggiunta e sua stabilità, aderenza al trattamento (riferita dal paziente e, se disponibile, verificata su dati di erogazione/prescrizione), eventuali variazioni della terapia farmacologica concomitante, consumo di alcol, e un livello di attività fisica riferito mediante singola domanda strutturata (sedentario / moderatamente attivo / attivo). Non è previsto un questionario dietetico o di attività fisica validato dedicato, per non ampliare ulteriormente il numero di strumenti somministrati in uno studio già gravato da molteplici valutazioni per paziente.</w:t>
      </w:r>
    </w:p>
    <w:p>
      <w:pPr>
        <w:pStyle w:val="Heading1"/>
      </w:pPr>
      <w:r>
        <w:t>8. Metodologia delle valutazioni</w:t>
      </w:r>
    </w:p>
    <w:p>
      <w:pPr>
        <w:pStyle w:val="Heading2"/>
      </w:pPr>
      <w:r>
        <w:t>8.1 Valutazione clinica, antropometrica, di composizione corporea e sintomatologica</w:t>
      </w:r>
    </w:p>
    <w:p>
      <w:r>
        <w:t>Ad ogni time-point verranno rilevati peso, altezza, BMI, circonferenza vita e fianchi, pressione arteriosa sistolica e diastolica e frequenza cardiaca. La composizione corporea — massa libera da grasso (FFM), massa grassa (FM) e metabolismo basale (BMR) — verrà valutata mediante bioimpedenziometria a T0, T6 e T12.</w:t>
      </w:r>
    </w:p>
    <w:p>
      <w:r>
        <w:t xml:space="preserve">A T0, T6 e T12, in entrambi i bracci, sarà inoltre somministrato un questionario validato di sintomi gastrointestinali, per quantificare la tollerabilità/qualità di vita e correlarla con l'aderenza al trattamento (nella coorte tirzepatide) e con la traiettoria dei biomarcatori epatici. </w:t>
      </w:r>
      <w:r>
        <w:rPr>
          <w:i/>
        </w:rPr>
        <w:t>Motivazione: la letteratura registrativa sulla tirzepatide identifica i disturbi gastrointestinali come la principale causa di interruzione del trattamento (sezione 13); un questionario validato permette di quantificare questo fenomeno invece di affidarsi alla sola raccolta non strutturata di eventi avversi, ed è oggi atteso dalle riviste di fascia alta per studi su terapie con nota tollerabilità gastrointestinale.</w:t>
      </w:r>
    </w:p>
    <w:p>
      <w:pPr>
        <w:pStyle w:val="Heading2"/>
      </w:pPr>
      <w:r>
        <w:t>8.2 Ecografia multiparametrica dell'addome (B-mode e Color Doppler)</w:t>
      </w:r>
    </w:p>
    <w:p>
      <w:r>
        <w:t>Tutti i pazienti saranno sottoposti a ecografia addominale con ecografo di fascia alta dotato di sonda convex multifrequenza (3,5–5 MHz), a digiuno da almeno 6 ore. In B-mode verranno valutati il diametro del lobo epatico destro, l'ecostruttura parenchimale con stima del grado di steatosi, la morfologia di colecisti e vie biliari — con valutazione strutturata e sistematica, a ogni time-point, di calcolosi, sludge e segni di colecistite, registrata come parametro di sicurezza e non solo come reperto incidentale, a costo aggiuntivo nullo data la scansione già prevista —, le dimensioni e l'ecostruttura di milza e reni, e lo spessore del tessuto adiposo sottocutaneo, viscerale, pericardico e preperitoneale. Come parametro surrogato dello stato nutrizionale e della massa muscolare sarà misurata, con sonda lineare, l'area di sezione trasversa del muscolo retto femorale (rectus femoris cross-sectional area), metodica più riproducibile della semplice misura di spessore del compartimento anteriore della coscia. Il Color Doppler sarà impiegato per la caratterizzazione emodinamica dell'asse spleno-portale (calibro e velocità di flusso) e per il calcolo degli indici di resistenza e pulsatilità a livello dell'arteria epatica e dell'arteria splenica.</w:t>
      </w:r>
    </w:p>
    <w:p>
      <w:r>
        <w:rPr>
          <w:i/>
        </w:rPr>
        <w:t>Gli indici Doppler intrarenali, presenti nella stesura precedente, sono stati rimossi: non hanno un razionale diretto rispetto agli obiettivi dello studio (caratterizzazione epatica e vascolare periferica) e la loro inclusione non era giustificata se non dal fatto di essere già nel campo di vista durante la scansione addominale.</w:t>
      </w:r>
    </w:p>
    <w:p>
      <w:r>
        <w:t>Durante la scansione B-mode dell'aorta addominale, già inclusa nell'esame epatico standard, sarà registrato il diametro aortico come reperto incidentale (screening opportunistico di aneurisma dell'aorta addominale in una popolazione a rischio cardiometabolico per età e BMI). Tale rilievo ha valore clinico ma non costituisce un obiettivo né un endpoint dello studio, e non richiede tempo aggiuntivo rispetto alla scansione già prevista.</w:t>
      </w:r>
    </w:p>
    <w:p>
      <w:pPr>
        <w:pStyle w:val="Heading2"/>
      </w:pPr>
      <w:r>
        <w:t>8.3 Elastografia epatica e splenica (2D-Shear Wave Elastography)</w:t>
      </w:r>
    </w:p>
    <w:p>
      <w:r>
        <w:t>Con sonda convex multifrequenza (3,5–5 MHz) verrà generata una mappa quantitativa della stiffness dei parenchimi esaminati, secondo la metodologia raccomandata dalle linee guida WFUMB 2024 Parte 1 sull'elastografia epatica [3]. A livello epatico la regione di interesse (ROI) sarà posizionata in un'area priva di grossi vasi o vie biliari, a profondità compresa tra 2 e 5 cm dalla capsula, con almeno 5 misurazioni valide in punti differenti. A livello splenico la ROI sarà collocata nel parenchima centrale, con almeno 3–5 misurazioni valide. I valori saranno espressi in kilopascal (kPa) e considerati affidabili se il rapporto interquartile/mediana (IQR/M) risulterà ≤30%. Un incremento della stiffness epatica sarà interpretato come indicativo di progressione fibrotica secondo i cut-off di letteratura; un incremento della stiffness splenica sarà interpretato come marker indiretto di ipertensione portale.</w:t>
      </w:r>
    </w:p>
    <w:p>
      <w:pPr>
        <w:pStyle w:val="Heading2"/>
      </w:pPr>
      <w:r>
        <w:t>8.4 Attenuazione ultrasonografica epato-splenica (TAI/TSI) e fat fraction</w:t>
      </w:r>
    </w:p>
    <w:p>
      <w:r>
        <w:t>La quantificazione della steatosi sarà eseguita mediante Tissue Attenuation Imaging (TAI) e Tissue Scatter Distribution Imaging (TSI), con sonda convex (3,5–5 MHz), a digiuno da almeno 6 ore, paziente supino. La ROI sarà posizionata nel lobo epatico destro, a profondità standardizzata di almeno 2 cm dalla capsula, con acquisizione di tre misurazioni in aree differenti e calcolo della media. Il TAI fornisce il coefficiente di attenuazione ultrasonografica (dB/cm/MHz), proporzionale al contenuto di grasso intraepatico; il TSI valuta la distribuzione della dispersione ultrasonografica a supporto dell'accuratezza diagnostica. Dai valori di TAI e TSI verrà calcolata, secondo gli algoritmi validati del software del sistema ecografico e le linee guida WFUMB 2024 Parte 2 sulla quantificazione del grasso epatico [4], la fat fraction epatica (%), classificata in steatosi lieve, moderata e severa secondo i cut-off di letteratura. Studi recenti di riproducibilità e di validazione verso MRI e verso il Controlled Attenuation Parameter supportano l'affidabilità tecnica di TAI/TSI [5,6]. La differenza fra bracci nella variazione della fat fraction costituisce l'endpoint primario dello studio (cfr. sezione 9.1); la proporzione di pazienti con riduzione relativa ≥30% (analisi responder, sezione 3.2) è riportata come endpoint secondario di rilevanza clinica.</w:t>
      </w:r>
    </w:p>
    <w:p>
      <w:pPr>
        <w:pStyle w:val="Heading2"/>
      </w:pPr>
      <w:r>
        <w:t>8.5 Viscosità epatica e splenica (Shear Wave Dispersion)</w:t>
      </w:r>
    </w:p>
    <w:p>
      <w:r>
        <w:t>La caratterizzazione viscoelastica sarà eseguita mediante Shear Wave Dispersion (SWD), tecnica che misura la variazione della velocità delle shear waves in funzione della frequenza. La SWD va considerata un biomarcatore quantitativo emergente, di plausibilità biologica come indice di viscosità tissutale potenzialmente correlato all'attività infiammatoria. Uno studio prospettico multicentrico internazionale con biopsia epatica come riferimento (iLEAD study) ne ha documentato per la prima volta un'associazione diretta con l'infiammazione lobulare istologica, con performance diagnostica ancora moderata [7]: la SWD dispone dunque oggi di una prima validazione istologica indipendente, ma non è mai stata impiegata come endpoint di risposta a terapia farmacologica, né è standardizzata tra vendor diversi. I risultati relativi alla SWD in questo studio saranno pertanto interpretati con cautela e presentati come dato esplorativo anche quando riferiti all'endpoint primario. L'esame sarà condotto con sonda convex (3,5–5 MHz), paziente a digiuno e in posizione supina, a livello epatico (ROI a profondità 2–5 cm dalla capsula) e splenico (porzione centrale, evitando vasi principali e margini capsulari), con almeno 5 misurazioni valide per sede. La viscosità sarà espressa come coefficiente di dispersione ((m/s)/kHz). Un incremento a livello epatico sarà interpretato come indice indiretto di attività necro-infiammatoria; a livello splenico come possibile marcatore aggiuntivo di alterazioni emodinamiche correlate a ipertensione portale.</w:t>
      </w:r>
    </w:p>
    <w:p>
      <w:pPr>
        <w:pStyle w:val="Heading2"/>
      </w:pPr>
      <w:r>
        <w:t>8.6 Ankle-Brachial Index (ABI)</w:t>
      </w:r>
    </w:p>
    <w:p>
      <w:r>
        <w:t>L'ABI sarà misurato con sfigmomanometro standard e sonda Doppler continuo a 8–10 MHz, registrando la pressione sistolica a livello delle arterie tibiale posteriore e pedidia anteriore per ciascun arto inferiore e confrontandola con la pressione sistolica brachiale più elevata. Valori &lt;0,9 saranno considerati indicativi di arteriopatia periferica; valori &gt;1,3 suggeriranno rigidità arteriosa o calcificazioni.</w:t>
      </w:r>
    </w:p>
    <w:p>
      <w:pPr>
        <w:pStyle w:val="Heading2"/>
      </w:pPr>
      <w:r>
        <w:t>8.7 EcocolorDoppler arterioso degli arti inferiori</w:t>
      </w:r>
    </w:p>
    <w:p>
      <w:r>
        <w:t>Lo studio della circolazione arteriosa degli arti inferiori sarà eseguito con sonda lineare ad alta frequenza (7–12 MHz) per i segmenti superficiali (femorale comune, femorale superficiale, poplitea) e, se necessario, con sonda convex (3,5–5 MHz) per i tratti profondi. Saranno valutati in sequenza arteria femorale comune, biforcazione femorale, arteria femorale superficiale, arteria poplitea, arterie tibiali anteriore e posteriore e arteria peroniera, in B-mode (morfologia, calibro, placche), Color Doppler (flusso, aliasing, turbolenza) e Doppler spettrale (velocità sistolica di picco, velocità telediastolica, indici di resistenza e pulsatilità). Il grado di stenosi sarà classificato secondo i criteri Doppler standard; la presenza di flusso monofasico o tardivo sarà interpretata come segno di arteriopatia periferica significativa.</w:t>
      </w:r>
    </w:p>
    <w:p>
      <w:pPr>
        <w:pStyle w:val="Heading2"/>
      </w:pPr>
      <w:r>
        <w:t>8.8 Prelievi ematici e determinazioni di laboratorio</w:t>
      </w:r>
    </w:p>
    <w:p>
      <w:r>
        <w:t>I prelievi ematici, eseguiti dopo digiuno overnight di almeno 8 ore, saranno effettuati a T0, T6 e T12. Sul sangue intero (EDTA) saranno valutati emoglobina glicata ed esame emocromocitometrico. Su siero/plasma (conservato a −80°C fino al momento dell'analisi) saranno determinati profilo lipidico (colesterolo totale, LDL, HDL, trigliceridi), glicemia, insulinemia, profilo di sicurezza (funzionalità renale ed epatica, vitamina D, vitamina B12, folati) e, mediante tecniche ELISA, le apolipoproteine APO-A1, APO-B e APO-J.</w:t>
      </w:r>
    </w:p>
    <w:p>
      <w:r>
        <w:t>Razionale della scelta delle apolipoproteine: APO-B è considerata un indicatore del numero di particelle aterogeniche, più robusto del solo colesterolo LDL nella stima del rischio cardiometabolico, ed è associata a MASLD in coorti recenti anche in età pediatrica [13]; APO-A1, componente principale dell'HDL, ne riflette la funzione protettiva. APO-J (clusterina) è stata proposta più recentemente, insieme ad apoL1, come determinante di steatoepatite metabolica (MASH) in una coorte cross-sectional di pazienti sottoposti a chirurgia bariatrica [12]; la sua inclusione ha carattere esplorativo — gli studi disponibili sono cross-sectional, non interventistici — e non è al momento parte di alcun pannello diagnostico validato per la pratica clinica.</w:t>
      </w:r>
    </w:p>
    <w:p>
      <w:pPr>
        <w:pStyle w:val="Heading2"/>
      </w:pPr>
      <w:r>
        <w:t>8.9 Sotto-studio di riproducibilità delle misurazioni ecografiche quantitative</w:t>
      </w:r>
    </w:p>
    <w:p>
      <w:r>
        <w:t>In un sottocampione di 15–20 pazienti consecutivi, selezionato tra i primi arruolati, saranno condotte valutazioni dedicate di riproducibilità per 2D-SWE, TAI/TSI e SWD:</w:t>
      </w:r>
    </w:p>
    <w:p>
      <w:pPr>
        <w:pStyle w:val="ListBullet"/>
      </w:pPr>
      <w:r>
        <w:t>Riproducibilità intra-operatore: due acquisizioni indipendenti eseguite dallo stesso operatore nella medesima seduta, a breve distanza di tempo, con il paziente riposizionato tra le due misurazioni.</w:t>
      </w:r>
    </w:p>
    <w:p>
      <w:pPr>
        <w:pStyle w:val="ListBullet"/>
      </w:pPr>
      <w:r>
        <w:t>Riproducibilità inter-operatore: acquisizioni eseguite da due operatori diversi, in cieco l'uno rispetto ai valori dell'altro, nella medesima seduta.</w:t>
      </w:r>
    </w:p>
    <w:p>
      <w:pPr>
        <w:pStyle w:val="ListBullet"/>
      </w:pPr>
      <w:r>
        <w:t>Analisi statistica dedicata: coefficiente di correlazione intraclasse (ICC, modello a effetti misti, interpretato secondo le soglie convenzionali: &lt;0,5 scarso, 0,5–0,75 moderato, 0,75–0,90 buono, &gt;0,90 eccellente), coefficiente di variazione (CV%) e analisi di Bland-Altman con limiti di accordo al 95%.</w:t>
      </w:r>
    </w:p>
    <w:p>
      <w:r>
        <w:t>La dimensione di questo sottocampione è motivata da ragioni di fattibilità; gli intervalli di confidenza delle stime di ICC saranno riportati esplicitamente e interpretati tenendo conto della loro ampiezza attesa con questa numerosità.</w:t>
      </w:r>
    </w:p>
    <w:p>
      <w:r>
        <w:t>Questo sotto-studio è concepito anche come possibile prodotto pubblicabile a sé stante, distinto dallo studio principale sulla risposta della MASLD alla tirzepatide.</w:t>
      </w:r>
    </w:p>
    <w:p>
      <w:pPr>
        <w:pStyle w:val="Heading2"/>
      </w:pPr>
      <w:r>
        <w:t>8.10 Sotto-studio traslazionale ancillare su biomarcatori liquidi</w:t>
      </w:r>
    </w:p>
    <w:p>
      <w:r>
        <w:t>In un sottocampione di pazienti che forniscono un consenso informato specifico e separato (broad consent per uso futuro del materiale biologico, conforme al Regolamento UE 2016/679), a ogni time-point (T0, T6, T12), in aggiunta al prelievo ematico già previsto in sezione 8.8, sarà raccolto: (i) un campione di sangue intero in provetta con reagente stabilizzante per acidi nucleici, idoneo alla conservazione a temperatura ambiente prima della processazione, senza necessità di congelamento immediato né di personale dedicato in sala prelievi; (ii) un'aliquota di plasma in provetta con conservante dedicato, stabile per la processazione differita.</w:t>
      </w:r>
    </w:p>
    <w:p>
      <w:r>
        <w:t>Su questo materiale sono previste due analisi esplorative, condotte su un sottocampione (target 15–20 pazienti, per ragioni di fattibilità e costo, analogamente al sotto-studio di riproducibilità di sezione 8.9):</w:t>
      </w:r>
    </w:p>
    <w:p>
      <w:pPr>
        <w:pStyle w:val="ListBullet"/>
      </w:pPr>
      <w:r>
        <w:rPr>
          <w:b/>
        </w:rPr>
        <w:t>Frazione di cfDNA epatocitario</w:t>
      </w:r>
      <w:r>
        <w:t>, stimata mediante metilazione tessuto-specifica del DNA circolante libero, secondo un principio metodologico solidamente dimostrato per l'identificazione del tessuto di origine [14] e già applicato al danno d'organo in patologie non oncologiche come la sepsi [15], qui impiegato come biomarcatore esplorativo di turnover/morte epatocitaria, meccanicisticamente distinto dagli indici ecografici indiretti già previsti dal protocollo.</w:t>
      </w:r>
    </w:p>
    <w:p>
      <w:pPr>
        <w:pStyle w:val="ListBullet"/>
      </w:pPr>
      <w:r>
        <w:rPr>
          <w:b/>
        </w:rPr>
        <w:t>Profilo trascrittomico ematico a basso costo</w:t>
      </w:r>
      <w:r>
        <w:t xml:space="preserve"> (RNA-seq 3′, lettura della sola estremità del trascritto), come readout esplorativo di infiammazione sistemica, secondo un principio metodologico applicato con successo in altri contesti clinici (risposta immunitaria a richiamo vaccinale) [16] ma non ancora, a nostra conoscenza, nella MASLD.</w:t>
      </w:r>
    </w:p>
    <w:p>
      <w:r>
        <w:rPr>
          <w:b/>
        </w:rPr>
        <w:t>Questa componente è dichiaratamente di prova di concetto.</w:t>
      </w:r>
      <w:r>
        <w:t xml:space="preserve"> Nessuno dei due biomarcatori è stato validato, nella letteratura verificata in fase di revisione di questo protocollo, come marcatore di risposta a terapia incretino-mimetica nella MASLD; l'inclusione è motivata dalla plausibilità biologica del principio generale (non dal principio applicato a questo specifico contesto clinico) e da un costo marginale pressoché nullo, dato che il prelievo ematico è già previsto per altri scopi. I risultati saranno riportati come generatori di ipotesi per un futuro studio dedicato, non come validazione di un biomarcatore.</w:t>
      </w:r>
    </w:p>
    <w:p>
      <w:pPr>
        <w:pStyle w:val="Heading1"/>
      </w:pPr>
      <w:r>
        <w:t>9. Endpoint dello studio</w:t>
      </w:r>
    </w:p>
    <w:p>
      <w:pPr>
        <w:pStyle w:val="Heading2"/>
      </w:pPr>
      <w:r>
        <w:t>9.1 Endpoint primario</w:t>
      </w:r>
    </w:p>
    <w:p>
      <w:r>
        <w:t xml:space="preserve">Differenza, tra la coorte tirzepatide e la coorte di confronto, della variazione assoluta della fat fraction epatica (%, derivata da TAI/TSI) tra T0 e T6 (analisi </w:t>
      </w:r>
      <w:r>
        <w:rPr>
          <w:i/>
        </w:rPr>
        <w:t>difference-in-differences</w:t>
      </w:r>
      <w:r>
        <w:t>). La variazione assoluta entro la sola coorte tirzepatide (T0 vs T6) è riportata come analisi secondaria di continuità.</w:t>
      </w:r>
    </w:p>
    <w:p>
      <w:pPr>
        <w:pStyle w:val="Heading2"/>
      </w:pPr>
      <w:r>
        <w:t>9.2 Endpoint secondari</w:t>
      </w:r>
    </w:p>
    <w:p>
      <w:pPr>
        <w:pStyle w:val="ListBullet"/>
      </w:pPr>
      <w:r>
        <w:t>Variazione della fat fraction epatica tra T0 e T12, per braccio e fra bracci.</w:t>
      </w:r>
    </w:p>
    <w:p>
      <w:pPr>
        <w:pStyle w:val="ListBullet"/>
      </w:pPr>
      <w:r>
        <w:t>Variazione della stiffness epatica e splenica (2D-SWE, kPa) tra T0, T6 e T12, per braccio e fra bracci.</w:t>
      </w:r>
    </w:p>
    <w:p>
      <w:pPr>
        <w:pStyle w:val="ListBullet"/>
      </w:pPr>
      <w:r>
        <w:t>Variazione della viscosità epatica e splenica (SWD) tra T0, T6 e T12 — dato esplorativo per la natura ancora emergente della metodica (cfr. sezione 8.5).</w:t>
      </w:r>
    </w:p>
    <w:p>
      <w:pPr>
        <w:pStyle w:val="ListBullet"/>
      </w:pPr>
      <w:r>
        <w:t>Variazione di peso, BMI, circonferenza vita, FFM, FM, BMR tra T0, T6 e T12.</w:t>
      </w:r>
    </w:p>
    <w:p>
      <w:pPr>
        <w:pStyle w:val="ListBullet"/>
      </w:pPr>
      <w:r>
        <w:t>Variazione del profilo lipidico, glicemico e dell'emoglobina glicata tra T0, T6 e T12.</w:t>
      </w:r>
    </w:p>
    <w:p>
      <w:pPr>
        <w:pStyle w:val="ListBullet"/>
      </w:pPr>
      <w:r>
        <w:t>ICC, CV% e limiti di accordo di Bland-Altman per 2D-SWE, TAI/TSI e SWD nel sottocampione di riproducibilità (sezione 8.9).</w:t>
      </w:r>
    </w:p>
    <w:p>
      <w:pPr>
        <w:pStyle w:val="ListBullet"/>
      </w:pPr>
      <w:r>
        <w:t>Incidenza di eventi avversi, eventi avversi seri e tasso di interruzione del trattamento.</w:t>
      </w:r>
    </w:p>
    <w:p>
      <w:pPr>
        <w:pStyle w:val="ListBullet"/>
      </w:pPr>
      <w:r>
        <w:t xml:space="preserve">Proporzione di </w:t>
      </w:r>
      <w:r>
        <w:rPr>
          <w:i/>
        </w:rPr>
        <w:t>responder</w:t>
      </w:r>
      <w:r>
        <w:t xml:space="preserve"> (riduzione relativa ≥30% della fat fraction epatica) a T6 e T12, per braccio, con relative risk e number needed to treat.</w:t>
      </w:r>
    </w:p>
    <w:p>
      <w:pPr>
        <w:pStyle w:val="ListBullet"/>
      </w:pPr>
      <w:r>
        <w:t>Variazione del questionario di sintomi gastrointestinali tra T0, T6 e T12, e sua correlazione con l'aderenza al trattamento.</w:t>
      </w:r>
    </w:p>
    <w:p>
      <w:pPr>
        <w:pStyle w:val="ListBullet"/>
      </w:pPr>
      <w:r>
        <w:t>Incidenza di reperti strutturati alla colecisti (calcolosi, sludge, colecistite), per braccio.</w:t>
      </w:r>
    </w:p>
    <w:p>
      <w:pPr>
        <w:pStyle w:val="Heading2"/>
      </w:pPr>
      <w:r>
        <w:t>9.3 Endpoint esplorativi (sotto-studio vascolare ancillare)</w:t>
      </w:r>
    </w:p>
    <w:p>
      <w:pPr>
        <w:pStyle w:val="ListBullet"/>
      </w:pPr>
      <w:r>
        <w:t>Variazione di ABI e dei parametri Doppler arteriosi degli arti inferiori tra T0 e T12.</w:t>
      </w:r>
    </w:p>
    <w:p>
      <w:pPr>
        <w:pStyle w:val="ListBullet"/>
      </w:pPr>
      <w:r>
        <w:t>Incidenza di eventi PAD-correlati (MALE) e cardiovascolari maggiori nel corso del follow-up.</w:t>
      </w:r>
    </w:p>
    <w:p>
      <w:pPr>
        <w:pStyle w:val="Heading2"/>
      </w:pPr>
      <w:r>
        <w:t>9.4 Endpoint esplorativi (sotto-studio traslazionale ancillare, sezione 8.10)</w:t>
      </w:r>
    </w:p>
    <w:p>
      <w:pPr>
        <w:pStyle w:val="ListBullet"/>
      </w:pPr>
      <w:r>
        <w:t>Variazione della frazione di cfDNA epatocitario tra T0, T6 e T12, e correlazione esplorativa con SWD e fat fraction.</w:t>
      </w:r>
    </w:p>
    <w:p>
      <w:pPr>
        <w:pStyle w:val="ListBullet"/>
      </w:pPr>
      <w:r>
        <w:t>Variazione dei moduli trascrittomici ematici di infiammazione sistemica tra T0, T6 e T12, e correlazione esplorativa con i biomarcatori epatici.</w:t>
      </w:r>
    </w:p>
    <w:p>
      <w:r>
        <w:t>L'accertamento degli eventi PAD-correlati e cardiovascolari maggiori sarà basato sulla revisione sistematica della cartella clinica elettronica aziendale ad ogni time-point, integrata da anamnesi diretta al paziente.</w:t>
      </w:r>
    </w:p>
    <w:p>
      <w:pPr>
        <w:pStyle w:val="Heading1"/>
      </w:pPr>
      <w:r>
        <w:t>10. Calcolo della dimensione campionaria</w:t>
      </w:r>
    </w:p>
    <w:p>
      <w:r>
        <w:t>Il calcolo è riferito all'endpoint primario (variazione della fat fraction epatica tra T0 e T6), utilizzando la formula per il confronto di medie appaiate:</w:t>
      </w:r>
    </w:p>
    <w:p>
      <w:r>
        <w:rPr>
          <w:i/>
        </w:rPr>
        <w:t>n = (z₁₋α/2 + z₁₋β)² × σd² / d²</w:t>
      </w:r>
    </w:p>
    <w:p>
      <w:r>
        <w:t>dove d è la variazione media attesa e σd la deviazione standard delle differenze intra-soggetto.</w:t>
      </w:r>
    </w:p>
    <w:p>
      <w:r>
        <w:rPr>
          <w:i/>
        </w:rPr>
        <w:t>Le assunzioni che seguono sono stime di lavoro, non dati misurati nella popolazione target, e devono essere verificate con il biostatistico prima della sottomissione definitiva. La letteratura disponibile su tirzepatide e contenuto di grasso epatico si basa su risonanza magnetica (MRI-PDFF), non su fat fraction ecografica da TAI/TSI: il trasferimento dell'effect size da una metodica all'altra è un'estrapolazione, non un dato diretto.</w:t>
      </w:r>
    </w:p>
    <w:p>
      <w:r>
        <w:t>Assumendo, per estrapolazione prudenziale dai dati di risonanza magnetica [8,9], una riduzione media assoluta della fat fraction epatica a 6 mesi pari a 5 punti percentuali e una deviazione standard delle differenze pari a 6 punti percentuali (assunzione di lavoro, da confermare con dati pilota locali o con studi di riproducibilità della fat fraction ecografica), con α=0,05 a due code e potenza 80% (z=1,96 e z=0,84):</w:t>
      </w:r>
    </w:p>
    <w:p>
      <w:r>
        <w:t>n ≈ 12 pazienti valutabili per l'endpoint within-subject nella coorte tirzepatide (analisi secondaria di continuità, sezione 9.1).</w:t>
      </w:r>
    </w:p>
    <w:p>
      <w:r>
        <w:t>In assenza di dati pubblicati sulla fat fraction epatica derivata da TAI dopo trattamento con tirzepatide, l'effect size assunto (5 punti percentuali) è stato scelto in maniera intenzionalmente conservativa; il valore sarà raffinato non appena saranno disponibili dati longitudinali dedicati, anche generati dal presente studio in una fase pilota.</w:t>
      </w:r>
    </w:p>
    <w:p>
      <w:r>
        <w:rPr>
          <w:b/>
        </w:rPr>
        <w:t>Calcolo per l'endpoint primario a due bracci (difference-in-differences).</w:t>
      </w:r>
      <w:r>
        <w:t xml:space="preserve"> L'endpoint primario di questa versione del protocollo (sezione 9.1) confronta la variazione della fat fraction epatica fra la coorte tirzepatide e la coorte di confronto. La varianza di una differenza fra due variazioni indipendenti è maggiore della varianza di una singola variazione appaiata: assumendo le stesse assunzioni di effetto (differenza attesa di 5 punti percentuali fra i due bracci) e la stessa deviazione standard delle differenze (6 punti percentuali) in ciascun braccio, con bracci di uguale numerosità e correlazione nulla fra le variazioni dei due bracci, la varianza della differenza raddoppia rispetto al confronto appaiato:</w:t>
      </w:r>
    </w:p>
    <w:p>
      <w:r>
        <w:t>n ≈ 24 pazienti valutabili per braccio (48 complessivi) per l'endpoint primario a α=0,05 due code, potenza 80%.</w:t>
      </w:r>
    </w:p>
    <w:p>
      <w:r>
        <w:rPr>
          <w:i/>
        </w:rPr>
        <w:t>Anche questo calcolo, come la sua versione within-subject, resta un'assunzione di lavoro da verificare con il biostatistico prima della sottomissione definitiva, e da raffinare non appena disponibili dati pilota locali sulla variabilità della fat fraction ecografica in entrambi i bracci.</w:t>
      </w:r>
    </w:p>
    <w:p>
      <w:r>
        <w:t xml:space="preserve">Tale numero resta insufficiente a garantire un campione adeguato per gli obiettivi secondari vascolari, in particolare per l'analisi degli eventi clinici PAD-correlati (MALE), e per gli obiettivi del sotto-studio traslazionale ancillare (sezione 8.10), che restano pertanto dichiarati come esplorativi e non potenziati. Per aumentare la robustezza delle analisi secondarie strutturali (ABI, parametri Doppler, analisi responder, stratificazione per fibrosi basale) e tenere conto di un tasso di drop-out atteso del 15–20% a 12 mesi (visite ripetute, tollerabilità gastrointestinale del farmaco, eventuale sospensione della terapia), si propone un campione target pragmatico di </w:t>
      </w:r>
      <w:r>
        <w:rPr>
          <w:b/>
        </w:rPr>
        <w:t>almeno 50 pazienti per braccio (100 complessivi)</w:t>
      </w:r>
      <w:r>
        <w:t>. Tale cifra va intesa come dimensionamento per fattibilità e coerenza con il disegno a due bracci, non come numerosità calcolata sugli obiettivi secondari o esplorativi, e deve essere rivista con il biostatistico non appena saranno disponibili stime più solide della variabilità della fat fraction ecografica nella popolazione target.</w:t>
      </w:r>
    </w:p>
    <w:p>
      <w:pPr>
        <w:pStyle w:val="Heading1"/>
      </w:pPr>
      <w:r>
        <w:t>11. Analisi statistica</w:t>
      </w:r>
    </w:p>
    <w:p>
      <w:r>
        <w:t>L'analisi principale sarà condotta su tutti i pazienti che hanno completato la valutazione basale (T0) e hanno effettivamente iniziato il trattamento con tirzepatide, indipendentemente dal completamento del follow-up a 6 e 12 mesi. I pazienti che eseguono T0 ma non iniziano la terapia saranno considerati screening failure, esclusi dall'analisi e registrati separatamente con il motivo della mancata inclusione.</w:t>
      </w:r>
    </w:p>
    <w:p>
      <w:r>
        <w:t>Le variabili quantitative saranno espresse come media ± deviazione standard, o mediana e intervallo interquartile in caso di distribuzione non normale (valutata con test di Shapiro-Wilk); le variabili categoriche come frequenze assolute e relative.</w:t>
      </w:r>
    </w:p>
    <w:p>
      <w:r>
        <w:t>Le differenze tra basale e follow-up (T0 vs T6, T0 vs T12), entro ciascun braccio, saranno analizzate mediante test t di Student per dati appaiati o test di Wilcoxon per ranghi con segno, in base alla distribuzione delle variabili. Le variazioni tra i tre time-point saranno analizzate mediante modelli lineari a effetti misti (linear mixed-effects models) per misure ripetute, che utilizzano tutti i dati disponibili sotto l'assunzione di dati mancanti at random (MAR) senza richiedere l'esclusione dei soggetti con follow-up incompleto; l'ANOVA per misure ripetute sarà riportata come analisi di sensibilità sui soli casi completi.</w:t>
      </w:r>
    </w:p>
    <w:p>
      <w:r>
        <w:rPr>
          <w:b/>
        </w:rPr>
        <w:t>Analisi primaria (nuovo).</w:t>
      </w:r>
      <w:r>
        <w:t xml:space="preserve"> L'endpoint primario (sezione 9.1) sarà analizzato mediante un modello a effetti misti con termine di interazione tempo × braccio, per stimare la differenza di variazione della fat fraction epatica fra i due bracci (difference-in-differences) tra T0 e T6. Il modello sarà aggiustato per propensity score, calcolato su covariate basali misurate (età, sesso, BMI, stadio di fibrosi al basale, emoglobina glicata, comorbidità cardiometaboliche), per ridurre il confondimento per indicazione residuo nell'assegnazione non randomizzata ai due bracci (sezione 4).</w:t>
      </w:r>
    </w:p>
    <w:p>
      <w:r>
        <w:rPr>
          <w:b/>
        </w:rPr>
        <w:t>Analisi di sensitività per dati mancanti non-random (nuovo).</w:t>
      </w:r>
      <w:r>
        <w:t xml:space="preserve"> In aggiunta al modello a effetti misti sotto assunzione MAR, sarà condotta un'analisi di sensitività con imputazione </w:t>
      </w:r>
      <w:r>
        <w:rPr>
          <w:i/>
        </w:rPr>
        <w:t>pattern-mixture</w:t>
      </w:r>
      <w:r>
        <w:t xml:space="preserve"> o </w:t>
      </w:r>
      <w:r>
        <w:rPr>
          <w:i/>
        </w:rPr>
        <w:t>tipping-point</w:t>
      </w:r>
      <w:r>
        <w:t>, per valutare la robustezza dei risultati all'ipotesi che i pazienti che interrompono il trattamento per intolleranza gastrointestinale abbiano una traiettoria epatica sistematicamente diversa da chi completa il follow-up — scenario clinicamente plausibile, non escludibile a priori e non verificabile direttamente nei dati osservati.</w:t>
      </w:r>
    </w:p>
    <w:p>
      <w:r>
        <w:rPr>
          <w:b/>
        </w:rPr>
        <w:t>Analisi responder (nuovo).</w:t>
      </w:r>
      <w:r>
        <w:t xml:space="preserve"> La proporzione di pazienti con riduzione relativa della fat fraction epatica ≥30% (sezione 3.2) sarà confrontata fra bracci mediante test del chi-quadro o test esatto di Fisher, con relative risk e number needed to treat come misure di effetto aggiuntive.</w:t>
      </w:r>
    </w:p>
    <w:p>
      <w:r>
        <w:t>Modelli di regressione lineare multivariata saranno utilizzati per identificare i predittori indipendenti della variazione dei parametri ecografici epatici, includendo come covariate la variazione del peso corporeo, la variazione dell'emoglobina glicata, la dose di tirzepatide raggiunta, l'aderenza al trattamento, le eventuali variazioni della terapia concomitante, il consumo di alcol in follow-up e il livello di attività fisica riferito (sezione 7). Data la limitata numerosità campionaria, il numero di covariate incluse simultaneamente in ciascun modello sarà limitato a un massimo di 3–4, selezionate a priori sulla base della plausibilità clinica; i risultati del modello multivariato saranno interpretati come esplorativi. L'inclusione di queste covariate non compensa l'assenza di un gruppo di controllo, ma permette di valutare se l'associazione osservata tra tirzepatide e variazione dei parametri epatici sia almeno in parte indipendente da questi fattori. Le correlazioni tra variazione dei parametri epatici e variazione dei parametri metabolici e vascolari saranno valutate mediante coefficiente di correlazione di Pearson o di Spearman.</w:t>
      </w:r>
    </w:p>
    <w:p>
      <w:r>
        <w:t>Il sottogruppo con arteriopatia periferica al basale sarà analizzato separatamente per gli endpoint vascolari. L'incidenza di eventi PAD-correlati e cardiovascolari sarà descritta in termini di frequenza assoluta, senza test di significatività formali, data l'attesa esiguità numerica degli eventi.</w:t>
      </w:r>
    </w:p>
    <w:p>
      <w:r>
        <w:t>La gestione dei dati mancanti (analisi per casi disponibili vs. metodi di imputazione) e le eventuali analisi di sensibilità saranno definite in dettaglio nel piano di analisi statistica, da concordare con il biostatistico prima dell'avvio dell'arruolamento, e pubblicato in allegato alla registrazione dello studio (sezione 12). Data la natura secondaria ed esplorativa della maggior parte dei confronti, non è prevista una correzione formale per la molteplicità dei test (es. Bonferroni); i valori di p relativi agli endpoint secondari ed esplorativi saranno pertanto interpretati come descrittivi e generatori di ipotesi, non come prova confermativa. Le analisi del sotto-studio traslazionale ancillare (sezione 8.10) sono per definizione esplorative, condotte su un sottocampione di dimensioni ridotte, e riportate come tali senza pretesa di validazione. Un valore di p&lt;0,05 sarà considerato statisticamente significativo.</w:t>
      </w:r>
    </w:p>
    <w:p>
      <w:pPr>
        <w:pStyle w:val="Heading1"/>
      </w:pPr>
      <w:r>
        <w:t>12. Registrazione, aspetti etici e normativi</w:t>
      </w:r>
    </w:p>
    <w:p>
      <w:r>
        <w:t>Lo studio sarà registrato prospetticamente su ClinicalTrials.gov prima dell'avvio dell'arruolamento, con pubblicazione del piano di analisi statistica dettagliato in allegato alla registrazione, per allinearsi alle aspettative di trasparenza delle riviste di fascia alta in ambito epatologico e internistico. Lo studio sarà condotto e riportato secondo le linee guida STROBE per gli studi osservazionali [17].</w:t>
      </w:r>
    </w:p>
    <w:p>
      <w:r>
        <w:t>Lo studio sarà condotto in conformità ai principi etici per la ricerca medica su soggetti umani sanciti dalla Dichiarazione di Helsinki dell'Associazione Medica Mondiale, nella sua versione più aggiornata, e sarà sottoposto per approvazione al Comitato Etico competente prima dell'avvio dell'arruolamento. Nessun paziente sarà arruolato prima del parere favorevole del Comitato Etico e della sottoscrizione del consenso informato.</w:t>
      </w:r>
    </w:p>
    <w:p>
      <w:r>
        <w:t>A tutti i pazienti sarà fornita, a cura del ricercatore, un'informativa scritta sulle finalità, le procedure, i rischi e i benefici attesi dello studio, nonché sul diritto di recedere dalla partecipazione in qualsiasi momento senza alcuna conseguenza sulla qualità delle cure ricevute. La partecipazione sarà subordinata alla sottoscrizione di un consenso informato specifico per lo studio e di un consenso al trattamento dei dati personali, redatti in conformità al Regolamento (UE) 2016/679 (GDPR) e alla normativa nazionale applicabile in materia di protezione dei dati personali. Per il sotto-studio traslazionale ancillare (sezione 8.10) sarà acquisito un consenso informato specifico e distinto (broad consent per uso futuro del materiale biologico), opt-in e non condizionante la partecipazione allo studio principale.</w:t>
      </w:r>
    </w:p>
    <w:p>
      <w:r>
        <w:t>Ad ogni paziente arruolato sarà attribuito un codice identificativo univoco; i dati saranno raccolti e conservati in forma pseudonimizzata, con accesso ai dati identificativi riservato al personale autorizzato. Il trattamento farmacologico con tirzepatide non è determinato dallo studio, ma corrisponde a un'indicazione clinica autonoma del medico curante: lo studio si limita a raccogliere dati aggiuntivi, in gran parte già previsti dal follow-up clinico standard di questi pazienti, con l'aggiunta delle valutazioni ecografiche quantitative dedicate.</w:t>
      </w:r>
    </w:p>
    <w:p>
      <w:r>
        <w:t>Eventuali reperti incidentali clinicamente rilevanti identificati durante le valutazioni ecografiche dello studio (ad es. lesioni focali epatiche, aneurisma aortico, altre masse addominali) saranno comunicati tempestivamente al paziente e al medico curante per l'appropriato inquadramento clinico, indipendentemente dal proseguimento dello studio.</w:t>
      </w:r>
    </w:p>
    <w:p>
      <w:pPr>
        <w:pStyle w:val="Heading1"/>
      </w:pPr>
      <w:r>
        <w:t>13. Sicurezza e gestione degli eventi avversi</w:t>
      </w:r>
    </w:p>
    <w:p>
      <w:r>
        <w:t>Sarà posta particolare attenzione agli effetti collaterali più frequenti della tirzepatide, in primo luogo i disturbi gastrointestinali (nausea, vomito, diarrea, stipsi, dispepsia, dolore addominale), principale causa di interruzione del trattamento, monitorati anche mediante il questionario validato di sintomi gastrointestinali (sezione 8.1). Saranno inoltre monitorati eventi avversi meno comuni ma clinicamente rilevanti: perdita di massa magra, pancreatite acuta, patologie della colecisti e delle vie biliari — per le quali è ora prevista una valutazione ecografica strutturata sistematica a ogni time-point (sezione 8.2), non solo la rilevazione di un evento clinico —, ipoglicemia, alterazioni della funzione renale da deplezione di volume, reazioni di ipersensibilità e nel sito di iniezione, complicanze di retinopatia diabetica, variazioni della frequenza cardiaca e della pressione arteriosa, e segnali tiroidei (dato il segnale, osservato negli studi preclinici, di tumori a cellule C in modelli animali).</w:t>
      </w:r>
    </w:p>
    <w:p>
      <w:r>
        <w:t>Saranno registrati sistematicamente il tasso di interruzione del trattamento per eventi avversi, l'incidenza complessiva di eventi avversi seri (SAE) e la mortalità per tutte le cause. Gli eventi avversi seri saranno notificati secondo le procedure e la tempistica richieste dal Comitato Etico e dalla normativa di farmacovigilanza applicabile.</w:t>
      </w:r>
    </w:p>
    <w:p>
      <w:pPr>
        <w:pStyle w:val="Heading1"/>
      </w:pPr>
      <w:r>
        <w:t>14. Risultati attesi</w:t>
      </w:r>
    </w:p>
    <w:p>
      <w:r>
        <w:t>Sulla base dei dati di letteratura relativi all'effetto della tirzepatide sul contenuto di grasso epatico misurato con risonanza magnetica [8,9], ci si attende una riduzione significativamente maggiore della fat fraction epatica ecografica, della stiffness (2D-SWE) e della viscosità (SWD) nella coorte tirzepatide rispetto alla coorte di confronto, coerente con il calo ponderale e il miglioramento del profilo metabolico, con una proporzione di responder (≥30% di riduzione relativa) sostanzialmente superiore nel braccio trattato. Per la componente vascolare, i dati osservazionali retrospettivi disponibili [10,11] permettono di formulare l'ipotesi, da intendersi come generatrice e non confermativa, di un possibile miglioramento dei parametri ABI e Doppler degli arti inferiori nel sottogruppo di pazienti con arteriopatia periferica; l'eventuale riduzione di eventi clinici PAD-correlati non potrà essere dimostrata con la potenza statistica di questo studio pilota e sarà riportata solo in termini descrittivi. Per la componente traslazionale ancillare (sezione 8.10), non esistendo letteratura diretta di riferimento, non si formulano aspettative quantitative: i risultati saranno riportati come generatori di ipotesi.</w:t>
      </w:r>
    </w:p>
    <w:p>
      <w:pPr>
        <w:pStyle w:val="Heading1"/>
      </w:pPr>
      <w:r>
        <w:t>15. Limiti dello studio</w:t>
      </w:r>
    </w:p>
    <w:p>
      <w:pPr>
        <w:pStyle w:val="ListBullet"/>
      </w:pPr>
      <w:r>
        <w:rPr>
          <w:b/>
        </w:rPr>
        <w:t>Confondimento per indicazione residuo</w:t>
      </w:r>
      <w:r>
        <w:t>: l'introduzione di una coorte di confronto non randomizzata (sezione 4) migliora sostanzialmente, ma non elimina, il problema causale di un disegno puramente before-after. Variabili non misurate che influenzano sia la decisione clinica di prescrivere tirzepatide sia la traiettoria epatica (ad es. motivazione del paziente, aderenza dietetica non quantificata da uno strumento validato dedicato) restano una fonte di confondimento residuo, non completamente corretta dall'aggiustamento per propensity score sulle covariate misurate (sezione 11). Lo studio non equivale, per livello di evidenza causale, a un trial randomizzato controllato.</w:t>
      </w:r>
    </w:p>
    <w:p>
      <w:pPr>
        <w:pStyle w:val="ListBullet"/>
      </w:pPr>
      <w:r>
        <w:t>La numerosità campionaria per il confronto fra bracci (sezione 10) si basa su un'assunzione di effetto estrapolata da studi di risonanza magnetica, non da dati ecografici diretti nella popolazione target, e va considerata provvisoria; gli obiettivi secondari vascolari e traslazionali, in particolare gli eventi clinici PAD-correlati e i biomarcatori liquidi esplorativi, sono strutturalmente sottopotenziati e vanno interpretati come esplorativi e generatori di ipotesi.</w:t>
      </w:r>
    </w:p>
    <w:p>
      <w:pPr>
        <w:pStyle w:val="ListBullet"/>
      </w:pPr>
      <w:r>
        <w:t>Disegno monocentrico: la generalizzabilità dei risultati ad altre popolazioni e ad altri ecografi/operatori è limitata.</w:t>
      </w:r>
    </w:p>
    <w:p>
      <w:pPr>
        <w:pStyle w:val="ListBullet"/>
      </w:pPr>
      <w:r>
        <w:t>Potenziale variabilità inter-operatore nelle misurazioni ecografiche quantitative, mitigata dalla standardizzazione del numero di misurazioni e dai criteri di affidabilità (IQR/M) descritti in sezione 8, ma non completamente eliminabile.</w:t>
      </w:r>
    </w:p>
    <w:p>
      <w:pPr>
        <w:pStyle w:val="ListBullet"/>
      </w:pPr>
      <w:r>
        <w:t>Natura osservazionale del disegno: la titolazione della dose, le eventuali modifiche della terapia concomitante e l'aderenza al trattamento sono decise dal medico curante e non standardizzate dal protocollo, introducendo una possibile fonte di eterogeneità/confondimento, in entrambi i bracci.</w:t>
      </w:r>
    </w:p>
    <w:p>
      <w:pPr>
        <w:pStyle w:val="ListBullet"/>
      </w:pPr>
      <w:r>
        <w:t>Il sotto-studio traslazionale ancillare (sezione 8.10) non è validato nel contesto specifico di MASLD/tirzepatide e va interpretato come prova di concetto, condotta su un sottocampione di dimensioni ridotte; i risultati non devono essere interpretati come validazione di un biomarcatore.</w:t>
      </w:r>
    </w:p>
    <w:p>
      <w:pPr>
        <w:pStyle w:val="ListBullet"/>
      </w:pPr>
      <w:r>
        <w:t>La coorte di confronto, pur reclutata presso lo stesso centro con criteri paralleli, potrebbe differire sistematicamente dalla coorte tirzepatide per ragioni non completamente catturate dal propensity score (ad es. gravità di malattia percepita che orienta la decisione prescrittiva) — limite intrinseco di qualunque disegno non randomizzato, dichiarato esplicitamente.</w:t>
      </w:r>
    </w:p>
    <w:p>
      <w:pPr>
        <w:pStyle w:val="Heading1"/>
      </w:pPr>
      <w:r>
        <w:t>16. Cronoprogramma</w:t>
      </w:r>
    </w:p>
    <w:tbl>
      <w:tblPr>
        <w:tblStyle w:val="LightGrid-Accent1"/>
        <w:tblW w:type="auto" w:w="0"/>
        <w:jc w:val="center"/>
        <w:tblLook w:firstColumn="1" w:firstRow="1" w:lastColumn="0" w:lastRow="0" w:noHBand="0" w:noVBand="1" w:val="04A0"/>
      </w:tblPr>
      <w:tblGrid>
        <w:gridCol w:w="4706"/>
        <w:gridCol w:w="4706"/>
      </w:tblGrid>
      <w:tr>
        <w:tc>
          <w:tcPr>
            <w:tcW w:type="dxa" w:w="4706"/>
          </w:tcPr>
          <w:p>
            <w:pPr>
              <w:spacing w:after="40"/>
            </w:pPr>
            <w:r>
              <w:rPr>
                <w:b/>
                <w:sz w:val="19"/>
              </w:rPr>
            </w:r>
          </w:p>
        </w:tc>
        <w:tc>
          <w:tcPr>
            <w:tcW w:type="dxa" w:w="4706"/>
          </w:tcPr>
          <w:p>
            <w:pPr>
              <w:spacing w:after="40"/>
            </w:pPr>
            <w:r>
              <w:rPr>
                <w:b/>
                <w:sz w:val="19"/>
              </w:rPr>
            </w:r>
          </w:p>
        </w:tc>
      </w:tr>
      <w:tr>
        <w:tc>
          <w:tcPr>
            <w:tcW w:type="dxa" w:w="4706"/>
          </w:tcPr>
          <w:p>
            <w:pPr>
              <w:spacing w:after="40"/>
            </w:pPr>
            <w:r>
              <w:rPr>
                <w:sz w:val="19"/>
              </w:rPr>
            </w:r>
            <w:r>
              <w:rPr>
                <w:b/>
                <w:sz w:val="19"/>
              </w:rPr>
              <w:t>Fase</w:t>
            </w:r>
          </w:p>
        </w:tc>
        <w:tc>
          <w:tcPr>
            <w:tcW w:type="dxa" w:w="4706"/>
          </w:tcPr>
          <w:p>
            <w:pPr>
              <w:spacing w:after="40"/>
            </w:pPr>
            <w:r>
              <w:rPr>
                <w:sz w:val="19"/>
              </w:rPr>
            </w:r>
            <w:r>
              <w:rPr>
                <w:b/>
                <w:sz w:val="19"/>
              </w:rPr>
              <w:t>Periodo indicativo</w:t>
            </w:r>
          </w:p>
        </w:tc>
      </w:tr>
      <w:tr>
        <w:tc>
          <w:tcPr>
            <w:tcW w:type="dxa" w:w="4706"/>
          </w:tcPr>
          <w:p>
            <w:pPr>
              <w:spacing w:after="40"/>
            </w:pPr>
            <w:r>
              <w:rPr>
                <w:sz w:val="19"/>
              </w:rPr>
            </w:r>
            <w:r>
              <w:rPr>
                <w:sz w:val="19"/>
              </w:rPr>
              <w:t>Sottomissione al Comitato Etico, registrazione ClinicalTrials.gov, apertura del percorso di consenso per la biobanca traslazionale</w:t>
            </w:r>
          </w:p>
        </w:tc>
        <w:tc>
          <w:tcPr>
            <w:tcW w:type="dxa" w:w="4706"/>
          </w:tcPr>
          <w:p>
            <w:pPr>
              <w:spacing w:after="40"/>
            </w:pPr>
            <w:r>
              <w:rPr>
                <w:sz w:val="19"/>
              </w:rPr>
            </w:r>
            <w:r>
              <w:rPr>
                <w:sz w:val="19"/>
              </w:rPr>
              <w:t>Mesi 1–3</w:t>
            </w:r>
          </w:p>
        </w:tc>
      </w:tr>
      <w:tr>
        <w:tc>
          <w:tcPr>
            <w:tcW w:type="dxa" w:w="4706"/>
          </w:tcPr>
          <w:p>
            <w:pPr>
              <w:spacing w:after="40"/>
            </w:pPr>
            <w:r>
              <w:rPr>
                <w:sz w:val="19"/>
              </w:rPr>
            </w:r>
            <w:r>
              <w:rPr>
                <w:sz w:val="19"/>
              </w:rPr>
              <w:t>Formalizzazione del percorso di invio (entrambi i bracci) con il/i servizio/i prescrittore/i e definizione del piano di analisi statistica definitivo</w:t>
            </w:r>
          </w:p>
        </w:tc>
        <w:tc>
          <w:tcPr>
            <w:tcW w:type="dxa" w:w="4706"/>
          </w:tcPr>
          <w:p>
            <w:pPr>
              <w:spacing w:after="40"/>
            </w:pPr>
            <w:r>
              <w:rPr>
                <w:sz w:val="19"/>
              </w:rPr>
            </w:r>
            <w:r>
              <w:rPr>
                <w:sz w:val="19"/>
              </w:rPr>
              <w:t>Mesi 2–3</w:t>
            </w:r>
          </w:p>
        </w:tc>
      </w:tr>
      <w:tr>
        <w:tc>
          <w:tcPr>
            <w:tcW w:type="dxa" w:w="4706"/>
          </w:tcPr>
          <w:p>
            <w:pPr>
              <w:spacing w:after="40"/>
            </w:pPr>
            <w:r>
              <w:rPr>
                <w:sz w:val="19"/>
              </w:rPr>
            </w:r>
            <w:r>
              <w:rPr>
                <w:sz w:val="19"/>
              </w:rPr>
              <w:t>Avvio dell'arruolamento (entrambi i bracci)</w:t>
            </w:r>
          </w:p>
        </w:tc>
        <w:tc>
          <w:tcPr>
            <w:tcW w:type="dxa" w:w="4706"/>
          </w:tcPr>
          <w:p>
            <w:pPr>
              <w:spacing w:after="40"/>
            </w:pPr>
            <w:r>
              <w:rPr>
                <w:sz w:val="19"/>
              </w:rPr>
            </w:r>
            <w:r>
              <w:rPr>
                <w:sz w:val="19"/>
              </w:rPr>
              <w:t>Mese 4</w:t>
            </w:r>
          </w:p>
        </w:tc>
      </w:tr>
      <w:tr>
        <w:tc>
          <w:tcPr>
            <w:tcW w:type="dxa" w:w="4706"/>
          </w:tcPr>
          <w:p>
            <w:pPr>
              <w:spacing w:after="40"/>
            </w:pPr>
            <w:r>
              <w:rPr>
                <w:sz w:val="19"/>
              </w:rPr>
            </w:r>
            <w:r>
              <w:rPr>
                <w:sz w:val="19"/>
              </w:rPr>
              <w:t>Arruolamento (target ≈100 pazienti, 50 per braccio)</w:t>
            </w:r>
          </w:p>
        </w:tc>
        <w:tc>
          <w:tcPr>
            <w:tcW w:type="dxa" w:w="4706"/>
          </w:tcPr>
          <w:p>
            <w:pPr>
              <w:spacing w:after="40"/>
            </w:pPr>
            <w:r>
              <w:rPr>
                <w:sz w:val="19"/>
              </w:rPr>
            </w:r>
            <w:r>
              <w:rPr>
                <w:sz w:val="19"/>
              </w:rPr>
              <w:t>Mesi 4–18</w:t>
            </w:r>
          </w:p>
        </w:tc>
      </w:tr>
      <w:tr>
        <w:tc>
          <w:tcPr>
            <w:tcW w:type="dxa" w:w="4706"/>
          </w:tcPr>
          <w:p>
            <w:pPr>
              <w:spacing w:after="40"/>
            </w:pPr>
            <w:r>
              <w:rPr>
                <w:sz w:val="19"/>
              </w:rPr>
            </w:r>
            <w:r>
              <w:rPr>
                <w:sz w:val="19"/>
              </w:rPr>
              <w:t>Follow-up a 6 e 12 mesi dell'ultimo paziente arruolato</w:t>
            </w:r>
          </w:p>
        </w:tc>
        <w:tc>
          <w:tcPr>
            <w:tcW w:type="dxa" w:w="4706"/>
          </w:tcPr>
          <w:p>
            <w:pPr>
              <w:spacing w:after="40"/>
            </w:pPr>
            <w:r>
              <w:rPr>
                <w:sz w:val="19"/>
              </w:rPr>
            </w:r>
            <w:r>
              <w:rPr>
                <w:sz w:val="19"/>
              </w:rPr>
              <w:t>Fino al mese 30</w:t>
            </w:r>
          </w:p>
        </w:tc>
      </w:tr>
      <w:tr>
        <w:tc>
          <w:tcPr>
            <w:tcW w:type="dxa" w:w="4706"/>
          </w:tcPr>
          <w:p>
            <w:pPr>
              <w:spacing w:after="40"/>
            </w:pPr>
            <w:r>
              <w:rPr>
                <w:sz w:val="19"/>
              </w:rPr>
            </w:r>
            <w:r>
              <w:rPr>
                <w:sz w:val="19"/>
              </w:rPr>
              <w:t>Chiusura del database, analisi statistica</w:t>
            </w:r>
          </w:p>
        </w:tc>
        <w:tc>
          <w:tcPr>
            <w:tcW w:type="dxa" w:w="4706"/>
          </w:tcPr>
          <w:p>
            <w:pPr>
              <w:spacing w:after="40"/>
            </w:pPr>
            <w:r>
              <w:rPr>
                <w:sz w:val="19"/>
              </w:rPr>
            </w:r>
            <w:r>
              <w:rPr>
                <w:sz w:val="19"/>
              </w:rPr>
              <w:t>Mesi 30–32</w:t>
            </w:r>
          </w:p>
        </w:tc>
      </w:tr>
      <w:tr>
        <w:tc>
          <w:tcPr>
            <w:tcW w:type="dxa" w:w="4706"/>
          </w:tcPr>
          <w:p>
            <w:pPr>
              <w:spacing w:after="40"/>
            </w:pPr>
            <w:r>
              <w:rPr>
                <w:sz w:val="19"/>
              </w:rPr>
            </w:r>
            <w:r>
              <w:rPr>
                <w:sz w:val="19"/>
              </w:rPr>
              <w:t>Stesura e sottomissione dei risultati</w:t>
            </w:r>
          </w:p>
        </w:tc>
        <w:tc>
          <w:tcPr>
            <w:tcW w:type="dxa" w:w="4706"/>
          </w:tcPr>
          <w:p>
            <w:pPr>
              <w:spacing w:after="40"/>
            </w:pPr>
            <w:r>
              <w:rPr>
                <w:sz w:val="19"/>
              </w:rPr>
            </w:r>
            <w:r>
              <w:rPr>
                <w:sz w:val="19"/>
              </w:rPr>
              <w:t>Mesi 32–35</w:t>
            </w:r>
          </w:p>
        </w:tc>
      </w:tr>
    </w:tbl>
    <w:p>
      <w:pPr>
        <w:spacing w:after="40"/>
      </w:pPr>
    </w:p>
    <w:p>
      <w:r>
        <w:rPr>
          <w:i/>
        </w:rPr>
        <w:t>Il cronoprogramma è indicativo e va adattato al tempo effettivo necessario per raggiungere il campione target con reclutamento consecutivo presso un unico centro, in entrambi i bracci.</w:t>
      </w:r>
    </w:p>
    <w:p>
      <w:pPr>
        <w:pStyle w:val="Heading1"/>
      </w:pPr>
      <w:r>
        <w:t>17. Bibliografia</w:t>
      </w:r>
    </w:p>
    <w:p>
      <w:r>
        <w:rPr>
          <w:i/>
        </w:rPr>
        <w:t>Bibliografia rivista e verificata in fase di revisione metodologica indipendente (2026). Ogni riferimento è stato controllato tramite ricerca bibliografica dedicata; dove non diversamente indicato, la citazione è stata confermata con titolo, autori, rivista, anno e — quando reperibile — volume/pagine/DOI/PMID. Due riferimenti della bibliografia originaria (v1.2), non confermabili con sufficiente certezza in fase di verifica, sono stati rimossi (cfr. Parte G della revisione per il dettaglio).</w:t>
      </w:r>
    </w:p>
    <w:p>
      <w:pPr>
        <w:pStyle w:val="ListNumber"/>
      </w:pPr>
      <w:r>
        <w:t>Rinella ME, Lazarus JV, Ratziu V, et al.; NAFLD Nomenclature consensus group. A multisociety Delphi consensus statement on new fatty liver disease nomenclature. J Hepatol. 2023;79(6):1542–1556. doi:10.1016/j.jhep.2023.06.003.</w:t>
      </w:r>
    </w:p>
    <w:p>
      <w:pPr>
        <w:pStyle w:val="ListNumber"/>
      </w:pPr>
      <w:r>
        <w:t>EASL, EASD, EASO. EASL-EASD-EASO Clinical Practice Guidelines on the management of metabolic dysfunction-associated steatotic liver disease (MASLD). J Hepatol. 2024;81(3):492–542. doi:10.1016/j.jhep.2024.04.031.</w:t>
      </w:r>
    </w:p>
    <w:p>
      <w:pPr>
        <w:pStyle w:val="ListNumber"/>
      </w:pPr>
      <w:r>
        <w:t>Ferraioli G, Barr RG, Berzigotti A, et al. WFUMB Guideline/Guidance on Liver Multiparametric Ultrasound: Part 1. Update to 2018 Guidelines on Liver Ultrasound Elastography. Ultrasound Med Biol. 2024;50(8):1071–1087. doi:10.1016/j.ultrasmedbio.2024.03.013.</w:t>
      </w:r>
    </w:p>
    <w:p>
      <w:pPr>
        <w:pStyle w:val="ListNumber"/>
      </w:pPr>
      <w:r>
        <w:t>WFUMB Guidelines/Guidance on Liver Multiparametric Ultrasound. Part 2: Guidance on Liver Fat Quantification. Ultrasound Med Biol. 2024;50(8):1088–1098.</w:t>
      </w:r>
    </w:p>
    <w:p>
      <w:pPr>
        <w:pStyle w:val="ListNumber"/>
      </w:pPr>
      <w:r>
        <w:t>Methodology exploration and reproducibility evaluation of TAI and TSI for quantitative ultrasound assessment of hepatic steatosis. Heliyon. 2024. PMID 38845969.</w:t>
      </w:r>
    </w:p>
    <w:p>
      <w:pPr>
        <w:pStyle w:val="ListNumber"/>
      </w:pPr>
      <w:r>
        <w:t>Fan Y, Chen K, Zhao Q, Yin H, Zhu Y, Xu H. Quantitative ultrasound analysis for non-invasive assessment of hepatic steatosis in metabolic dysfunction-associated steatotic liver disease. Ultrasound. 2025. doi:10.1177/13860291241304057.</w:t>
      </w:r>
    </w:p>
    <w:p>
      <w:pPr>
        <w:pStyle w:val="ListNumber"/>
      </w:pPr>
      <w:r>
        <w:t>Sugimoto K, Moriyasu F, Dioguardi Burgio M, Vilgrain V, et al. US Markers and Necroinflammation, Steatosis, and Fibrosis in Metabolic Dysfunction–associated Steatotic Liver Disease: The iLEAD Study. Radiology. 2024;312(2):e233377. doi:10.1148/radiol.233377. PMID 39162633.</w:t>
      </w:r>
    </w:p>
    <w:p>
      <w:pPr>
        <w:pStyle w:val="ListNumber"/>
      </w:pPr>
      <w:r>
        <w:t>Gastaldelli A, Cusi K, Fernández Landó L, Bray R, Brouwers B, Rodríguez Á. Effect of tirzepatide versus insulin degludec on liver fat content and abdominal adipose tissue in people with type 2 diabetes (SURPASS-3 MRI): a substudy of the randomised, open-label, parallel-group, phase 3 SURPASS-3 trial. Lancet Diabetes Endocrinol. 2022;10(6):393–406. doi:10.1016/S2213-8587(22)00070-5. PMID 35468325.</w:t>
      </w:r>
    </w:p>
    <w:p>
      <w:pPr>
        <w:pStyle w:val="ListNumber"/>
      </w:pPr>
      <w:r>
        <w:t>Loomba R, Hartman ML, Lawitz EJ, et al. Tirzepatide for Metabolic Dysfunction–Associated Steatohepatitis with Liver Fibrosis. N Engl J Med. 2024;391(4):299–310. doi:10.1056/NEJMoa2401943. PMID 38856224.</w:t>
      </w:r>
    </w:p>
    <w:p>
      <w:pPr>
        <w:pStyle w:val="ListNumber"/>
      </w:pPr>
      <w:r>
        <w:t>Wu JY, Tu WL, Yu T, Liao KM, Lin YM. Tirzepatide and major adverse limb events: insights from a multicenter real-world analysis in PAD and diabetes patients. Diabetes Res Clin Pract. 2025;222:112083.</w:t>
      </w:r>
    </w:p>
    <w:p>
      <w:pPr>
        <w:pStyle w:val="ListNumber"/>
      </w:pPr>
      <w:r>
        <w:t>Go CC, Annie F, Drabish K, Eslami MH. Glucagon-like peptide-1 receptor agonists are associated with fewer major adverse cardiovascular and limb events in patients with moderate peripheral arterial disease. J Vasc Surg. 2025;82(3):1024–1032.e2. PMID 40484062.</w:t>
      </w:r>
    </w:p>
    <w:p>
      <w:pPr>
        <w:pStyle w:val="ListNumber"/>
      </w:pPr>
      <w:r>
        <w:t>Cai Z, Najib S, Núñez-Sánchez MA, et al. ApoJ and apoL1 as novel determinants of MASH: a cross-sectional study. Lipids Health Dis. 2025;24:319. doi:10.1186/s12944-025-02733-0.</w:t>
      </w:r>
    </w:p>
    <w:p>
      <w:pPr>
        <w:pStyle w:val="ListNumber"/>
      </w:pPr>
      <w:r>
        <w:t>Correlation of apolipoprotein B and apolipoprotein A1 with metabolic dysfunction-associated steatotic liver disease in children and adolescents with obesity. Pediatr Obes. 2025;20(8):e70017. PMID 40329497.</w:t>
      </w:r>
    </w:p>
    <w:p>
      <w:pPr>
        <w:pStyle w:val="ListNumber"/>
      </w:pPr>
      <w:r>
        <w:t>Lehmann-Werman R, Neiman D, Zemmour H, et al. Identification of tissue-specific cell death using methylation patterns of circulating DNA. Proc Natl Acad Sci USA. 2016;113(13):E1826–E1834. PMID 26976580.</w:t>
      </w:r>
    </w:p>
    <w:p>
      <w:pPr>
        <w:pStyle w:val="ListNumber"/>
      </w:pPr>
      <w:r>
        <w:t>Lehmann-Werman R, Magenheim J, Moss J, et al. Monitoring liver damage using hepatocyte-specific methylation markers in cell-free circulating DNA. JCI Insight. 2018;3(12):e120687. PMID 29925683.</w:t>
      </w:r>
    </w:p>
    <w:p>
      <w:pPr>
        <w:pStyle w:val="ListNumber"/>
      </w:pPr>
      <w:r>
        <w:t>Ravera F, Dameri M, Lombardo I, et al. Blood transcriptomic module signatures after SARS-CoV-2 booster vaccination in health and disease. Cell Rep. 2025;44(7):115838. PMID 40543041.</w:t>
      </w:r>
    </w:p>
    <w:p>
      <w:pPr>
        <w:pStyle w:val="ListNumber"/>
      </w:pPr>
      <w:r>
        <w:t>von Elm E, Altman DG, Egger M, et al.; STROBE Initiative. The Strengthening the Reporting of Observational Studies in Epidemiology (STROBE) statement: guidelines for reporting observational studies. Lancet. 2007;370(9596):1453–1457.</w:t>
      </w:r>
    </w:p>
    <w:p>
      <w:pPr>
        <w:pStyle w:val="ListNumber"/>
      </w:pPr>
      <w:r>
        <w:t>World Medical Association Declaration of Helsinki – Ethical Principles for Medical Research Involving Human Subjects (versione più recente).</w:t>
      </w:r>
    </w:p>
    <w:p>
      <w:pPr>
        <w:pStyle w:val="ListNumber"/>
      </w:pPr>
      <w:r>
        <w:t>Koo TK, Li MY. A guideline of selecting and reporting intraclass correlation coefficients for reliability research. J Chiropr Med. 2016;15(2):155–163.</w:t>
      </w:r>
    </w:p>
    <w:p>
      <w:r>
        <w:rPr>
          <w:i/>
        </w:rPr>
        <w:t>Nota metodologica sulla verifica bibliografica: la ricerca è stata condotta con accesso a motori di ricerca web, con verifica incrociata su più fonti indipendenti per ciascun riferimento; l'accesso diretto a PubMed/Crossref è risultato bloccato nell'ambiente di lavoro utilizzato per la revisione. Si raccomanda una verifica finale diretta su PubMed/DOI resolver di tutti i riferimenti prima della sottomissione al Comitato Etico, in particolare per i dettagli di pagine/fascicolo dei riferimenti 5, 6, 13 e 16, riportati con il massimo dettaglio reperibile ma non confermati al 100% su fonte primaria diretta.</w:t>
      </w:r>
    </w:p>
    <w:p>
      <w:r>
        <w:t>Table of Contents</w:t>
      </w:r>
    </w:p>
    <w:p>
      <w:pPr>
        <w:pStyle w:val="Heading1"/>
      </w:pPr>
      <w:r>
        <w:t>PROTOCOLLO DI STUDIO</w:t>
      </w:r>
    </w:p>
    <w:p>
      <w:pPr>
        <w:pStyle w:val="Heading2"/>
      </w:pPr>
      <w:r>
        <w:t>CEUS-DETECT</w:t>
      </w:r>
    </w:p>
    <w:p>
      <w:pPr>
        <w:pStyle w:val="Heading3"/>
      </w:pPr>
      <w:r>
        <w:t>Ecografia con mezzo di contrasto per la detection incrementale di metastasi epatiche incidenti in pazienti oncologici in sorveglianza attiva, con sotto-studio ancillare di intelligenza artificiale su immagini archiviate</w:t>
      </w:r>
    </w:p>
    <w:p>
      <w:r>
        <w:rPr>
          <w:b/>
        </w:rPr>
        <w:t>Studio osservazionale prospettico multicentrico di accuratezza diagnostica, con fase retrospettiva monocentrica di fattibilità</w:t>
      </w:r>
    </w:p>
    <w:p>
      <w:r>
        <w:rPr>
          <w:i/>
        </w:rPr>
        <w:t>Revisione metodologica indipendente della versione 5.0 del protocollo</w:t>
      </w:r>
    </w:p>
    <w:p>
      <w:pPr>
        <w:pStyle w:val="Heading2"/>
      </w:pPr>
      <w:r>
        <w:t>Informazioni generali</w:t>
      </w:r>
    </w:p>
    <w:tbl>
      <w:tblPr>
        <w:tblStyle w:val="LightGrid-Accent1"/>
        <w:tblW w:type="auto" w:w="0"/>
        <w:jc w:val="center"/>
        <w:tblLook w:firstColumn="1" w:firstRow="1" w:lastColumn="0" w:lastRow="0" w:noHBand="0" w:noVBand="1" w:val="04A0"/>
      </w:tblPr>
      <w:tblGrid>
        <w:gridCol w:w="4706"/>
        <w:gridCol w:w="4706"/>
      </w:tblGrid>
      <w:tr>
        <w:tc>
          <w:tcPr>
            <w:tcW w:type="dxa" w:w="4706"/>
          </w:tcPr>
          <w:p>
            <w:pPr>
              <w:spacing w:after="40"/>
            </w:pPr>
            <w:r>
              <w:rPr>
                <w:b/>
                <w:sz w:val="19"/>
              </w:rPr>
            </w:r>
          </w:p>
        </w:tc>
        <w:tc>
          <w:tcPr>
            <w:tcW w:type="dxa" w:w="4706"/>
          </w:tcPr>
          <w:p>
            <w:pPr>
              <w:spacing w:after="40"/>
            </w:pPr>
            <w:r>
              <w:rPr>
                <w:b/>
                <w:sz w:val="19"/>
              </w:rPr>
            </w:r>
          </w:p>
        </w:tc>
      </w:tr>
      <w:tr>
        <w:tc>
          <w:tcPr>
            <w:tcW w:type="dxa" w:w="4706"/>
          </w:tcPr>
          <w:p>
            <w:pPr>
              <w:spacing w:after="40"/>
            </w:pPr>
            <w:r>
              <w:rPr>
                <w:sz w:val="19"/>
              </w:rPr>
            </w:r>
            <w:r>
              <w:rPr>
                <w:b/>
                <w:sz w:val="19"/>
              </w:rPr>
              <w:t>Titolo</w:t>
            </w:r>
          </w:p>
        </w:tc>
        <w:tc>
          <w:tcPr>
            <w:tcW w:type="dxa" w:w="4706"/>
          </w:tcPr>
          <w:p>
            <w:pPr>
              <w:spacing w:after="40"/>
            </w:pPr>
            <w:r>
              <w:rPr>
                <w:sz w:val="19"/>
              </w:rPr>
            </w:r>
            <w:r>
              <w:rPr>
                <w:sz w:val="19"/>
              </w:rPr>
              <w:t>CEUS-DETECT — Ecografia con mezzo di contrasto per la detection incrementale di metastasi epatiche incidenti in pazienti oncologici in sorveglianza attiva, con sotto-studio ancillare CEUS-DETECT-AI</w:t>
            </w:r>
          </w:p>
        </w:tc>
      </w:tr>
      <w:tr>
        <w:tc>
          <w:tcPr>
            <w:tcW w:type="dxa" w:w="4706"/>
          </w:tcPr>
          <w:p>
            <w:pPr>
              <w:spacing w:after="40"/>
            </w:pPr>
            <w:r>
              <w:rPr>
                <w:sz w:val="19"/>
              </w:rPr>
            </w:r>
            <w:r>
              <w:rPr>
                <w:b/>
                <w:sz w:val="19"/>
              </w:rPr>
              <w:t>Acronimo</w:t>
            </w:r>
          </w:p>
        </w:tc>
        <w:tc>
          <w:tcPr>
            <w:tcW w:type="dxa" w:w="4706"/>
          </w:tcPr>
          <w:p>
            <w:pPr>
              <w:spacing w:after="40"/>
            </w:pPr>
            <w:r>
              <w:rPr>
                <w:sz w:val="19"/>
              </w:rPr>
            </w:r>
            <w:r>
              <w:rPr>
                <w:sz w:val="19"/>
              </w:rPr>
              <w:t>CEUS-DETECT</w:t>
            </w:r>
          </w:p>
        </w:tc>
      </w:tr>
      <w:tr>
        <w:tc>
          <w:tcPr>
            <w:tcW w:type="dxa" w:w="4706"/>
          </w:tcPr>
          <w:p>
            <w:pPr>
              <w:spacing w:after="40"/>
            </w:pPr>
            <w:r>
              <w:rPr>
                <w:sz w:val="19"/>
              </w:rPr>
            </w:r>
            <w:r>
              <w:rPr>
                <w:b/>
                <w:sz w:val="19"/>
              </w:rPr>
              <w:t>Versione del protocollo</w:t>
            </w:r>
          </w:p>
        </w:tc>
        <w:tc>
          <w:tcPr>
            <w:tcW w:type="dxa" w:w="4706"/>
          </w:tcPr>
          <w:p>
            <w:pPr>
              <w:spacing w:after="40"/>
            </w:pPr>
            <w:r>
              <w:rPr>
                <w:sz w:val="19"/>
              </w:rPr>
            </w:r>
            <w:r>
              <w:rPr>
                <w:sz w:val="19"/>
              </w:rPr>
              <w:t>6.0</w:t>
            </w:r>
          </w:p>
        </w:tc>
      </w:tr>
      <w:tr>
        <w:tc>
          <w:tcPr>
            <w:tcW w:type="dxa" w:w="4706"/>
          </w:tcPr>
          <w:p>
            <w:pPr>
              <w:spacing w:after="40"/>
            </w:pPr>
            <w:r>
              <w:rPr>
                <w:sz w:val="19"/>
              </w:rPr>
            </w:r>
            <w:r>
              <w:rPr>
                <w:b/>
                <w:sz w:val="19"/>
              </w:rPr>
              <w:t>Data</w:t>
            </w:r>
          </w:p>
        </w:tc>
        <w:tc>
          <w:tcPr>
            <w:tcW w:type="dxa" w:w="4706"/>
          </w:tcPr>
          <w:p>
            <w:pPr>
              <w:spacing w:after="40"/>
            </w:pPr>
            <w:r>
              <w:rPr>
                <w:sz w:val="19"/>
              </w:rPr>
            </w:r>
            <w:r>
              <w:rPr>
                <w:sz w:val="19"/>
              </w:rPr>
              <w:t>[DATA]</w:t>
            </w:r>
          </w:p>
        </w:tc>
      </w:tr>
      <w:tr>
        <w:tc>
          <w:tcPr>
            <w:tcW w:type="dxa" w:w="4706"/>
          </w:tcPr>
          <w:p>
            <w:pPr>
              <w:spacing w:after="40"/>
            </w:pPr>
            <w:r>
              <w:rPr>
                <w:sz w:val="19"/>
              </w:rPr>
            </w:r>
            <w:r>
              <w:rPr>
                <w:b/>
                <w:sz w:val="19"/>
              </w:rPr>
              <w:t>Tipologia di studio</w:t>
            </w:r>
          </w:p>
        </w:tc>
        <w:tc>
          <w:tcPr>
            <w:tcW w:type="dxa" w:w="4706"/>
          </w:tcPr>
          <w:p>
            <w:pPr>
              <w:spacing w:after="40"/>
            </w:pPr>
            <w:r>
              <w:rPr>
                <w:sz w:val="19"/>
              </w:rPr>
            </w:r>
            <w:r>
              <w:rPr>
                <w:sz w:val="19"/>
              </w:rPr>
              <w:t>Studio osservazionale non interventistico, non farmacologico, prospettico e retrospettivo</w:t>
            </w:r>
          </w:p>
        </w:tc>
      </w:tr>
      <w:tr>
        <w:tc>
          <w:tcPr>
            <w:tcW w:type="dxa" w:w="4706"/>
          </w:tcPr>
          <w:p>
            <w:pPr>
              <w:spacing w:after="40"/>
            </w:pPr>
            <w:r>
              <w:rPr>
                <w:sz w:val="19"/>
              </w:rPr>
            </w:r>
            <w:r>
              <w:rPr>
                <w:b/>
                <w:sz w:val="19"/>
              </w:rPr>
              <w:t>Promotore</w:t>
            </w:r>
          </w:p>
        </w:tc>
        <w:tc>
          <w:tcPr>
            <w:tcW w:type="dxa" w:w="4706"/>
          </w:tcPr>
          <w:p>
            <w:pPr>
              <w:spacing w:after="40"/>
            </w:pPr>
            <w:r>
              <w:rPr>
                <w:sz w:val="19"/>
              </w:rPr>
            </w:r>
            <w:r>
              <w:rPr>
                <w:sz w:val="19"/>
              </w:rPr>
              <w:t>[ISTITUZIONE PROMOTRICE]</w:t>
            </w:r>
          </w:p>
        </w:tc>
      </w:tr>
      <w:tr>
        <w:tc>
          <w:tcPr>
            <w:tcW w:type="dxa" w:w="4706"/>
          </w:tcPr>
          <w:p>
            <w:pPr>
              <w:spacing w:after="40"/>
            </w:pPr>
            <w:r>
              <w:rPr>
                <w:sz w:val="19"/>
              </w:rPr>
            </w:r>
            <w:r>
              <w:rPr>
                <w:b/>
                <w:sz w:val="19"/>
              </w:rPr>
              <w:t>Sperimentatore principale</w:t>
            </w:r>
          </w:p>
        </w:tc>
        <w:tc>
          <w:tcPr>
            <w:tcW w:type="dxa" w:w="4706"/>
          </w:tcPr>
          <w:p>
            <w:pPr>
              <w:spacing w:after="40"/>
            </w:pPr>
            <w:r>
              <w:rPr>
                <w:sz w:val="19"/>
              </w:rPr>
            </w:r>
            <w:r>
              <w:rPr>
                <w:sz w:val="19"/>
              </w:rPr>
              <w:t>[NOME, QUALIFICA]</w:t>
            </w:r>
          </w:p>
        </w:tc>
      </w:tr>
      <w:tr>
        <w:tc>
          <w:tcPr>
            <w:tcW w:type="dxa" w:w="4706"/>
          </w:tcPr>
          <w:p>
            <w:pPr>
              <w:spacing w:after="40"/>
            </w:pPr>
            <w:r>
              <w:rPr>
                <w:sz w:val="19"/>
              </w:rPr>
            </w:r>
            <w:r>
              <w:rPr>
                <w:b/>
                <w:sz w:val="19"/>
              </w:rPr>
              <w:t>Unità operativa</w:t>
            </w:r>
          </w:p>
        </w:tc>
        <w:tc>
          <w:tcPr>
            <w:tcW w:type="dxa" w:w="4706"/>
          </w:tcPr>
          <w:p>
            <w:pPr>
              <w:spacing w:after="40"/>
            </w:pPr>
            <w:r>
              <w:rPr>
                <w:sz w:val="19"/>
              </w:rPr>
            </w:r>
            <w:r>
              <w:rPr>
                <w:sz w:val="19"/>
              </w:rPr>
              <w:t>[UNITÀ OPERATIVA]</w:t>
            </w:r>
          </w:p>
        </w:tc>
      </w:tr>
      <w:tr>
        <w:tc>
          <w:tcPr>
            <w:tcW w:type="dxa" w:w="4706"/>
          </w:tcPr>
          <w:p>
            <w:pPr>
              <w:spacing w:after="40"/>
            </w:pPr>
            <w:r>
              <w:rPr>
                <w:sz w:val="19"/>
              </w:rPr>
            </w:r>
            <w:r>
              <w:rPr>
                <w:b/>
                <w:sz w:val="19"/>
              </w:rPr>
              <w:t>Centri partecipanti</w:t>
            </w:r>
          </w:p>
        </w:tc>
        <w:tc>
          <w:tcPr>
            <w:tcW w:type="dxa" w:w="4706"/>
          </w:tcPr>
          <w:p>
            <w:pPr>
              <w:spacing w:after="40"/>
            </w:pPr>
            <w:r>
              <w:rPr>
                <w:sz w:val="19"/>
              </w:rPr>
            </w:r>
            <w:r>
              <w:rPr>
                <w:sz w:val="19"/>
              </w:rPr>
              <w:t>Centro coordinatore [ISTITUZIONE]; centri satellite da attivare (elenco in Allegato 6)</w:t>
            </w:r>
          </w:p>
        </w:tc>
      </w:tr>
      <w:tr>
        <w:tc>
          <w:tcPr>
            <w:tcW w:type="dxa" w:w="4706"/>
          </w:tcPr>
          <w:p>
            <w:pPr>
              <w:spacing w:after="40"/>
            </w:pPr>
            <w:r>
              <w:rPr>
                <w:sz w:val="19"/>
              </w:rPr>
            </w:r>
            <w:r>
              <w:rPr>
                <w:b/>
                <w:sz w:val="19"/>
              </w:rPr>
              <w:t>Finanziamento</w:t>
            </w:r>
          </w:p>
        </w:tc>
        <w:tc>
          <w:tcPr>
            <w:tcW w:type="dxa" w:w="4706"/>
          </w:tcPr>
          <w:p>
            <w:pPr>
              <w:spacing w:after="40"/>
            </w:pPr>
            <w:r>
              <w:rPr>
                <w:sz w:val="19"/>
              </w:rPr>
            </w:r>
            <w:r>
              <w:rPr>
                <w:sz w:val="19"/>
              </w:rPr>
              <w:t>Studio no-profit, condotto senza finanziamenti dedicati e senza sostegno commerciale</w:t>
            </w:r>
          </w:p>
        </w:tc>
      </w:tr>
      <w:tr>
        <w:tc>
          <w:tcPr>
            <w:tcW w:type="dxa" w:w="4706"/>
          </w:tcPr>
          <w:p>
            <w:pPr>
              <w:spacing w:after="40"/>
            </w:pPr>
            <w:r>
              <w:rPr>
                <w:sz w:val="19"/>
              </w:rPr>
            </w:r>
            <w:r>
              <w:rPr>
                <w:b/>
                <w:sz w:val="19"/>
              </w:rPr>
              <w:t>Registrazione</w:t>
            </w:r>
          </w:p>
        </w:tc>
        <w:tc>
          <w:tcPr>
            <w:tcW w:type="dxa" w:w="4706"/>
          </w:tcPr>
          <w:p>
            <w:pPr>
              <w:spacing w:after="40"/>
            </w:pPr>
            <w:r>
              <w:rPr>
                <w:sz w:val="19"/>
              </w:rPr>
            </w:r>
            <w:r>
              <w:rPr>
                <w:sz w:val="19"/>
              </w:rPr>
              <w:t>ClinicalTrials.gov / ISRCTN — registrazione prospettica prima dell’avvio dell’arruolamento; percorso etico-autorizzativo per il sotto-studio CEUS-DETECT-AI aperto contestualmente, dal mese 1 (sezione 6.7, 11.8)</w:t>
            </w:r>
          </w:p>
        </w:tc>
      </w:tr>
      <w:tr>
        <w:tc>
          <w:tcPr>
            <w:tcW w:type="dxa" w:w="4706"/>
          </w:tcPr>
          <w:p>
            <w:pPr>
              <w:spacing w:after="40"/>
            </w:pPr>
            <w:r>
              <w:rPr>
                <w:sz w:val="19"/>
              </w:rPr>
            </w:r>
            <w:r>
              <w:rPr>
                <w:b/>
                <w:sz w:val="19"/>
              </w:rPr>
              <w:t>Durata prevista</w:t>
            </w:r>
          </w:p>
        </w:tc>
        <w:tc>
          <w:tcPr>
            <w:tcW w:type="dxa" w:w="4706"/>
          </w:tcPr>
          <w:p>
            <w:pPr>
              <w:spacing w:after="40"/>
            </w:pPr>
            <w:r>
              <w:rPr>
                <w:sz w:val="19"/>
              </w:rPr>
            </w:r>
            <w:r>
              <w:rPr>
                <w:sz w:val="19"/>
              </w:rPr>
              <w:t>19 mesi dall’approvazione per lo studio principale</w:t>
            </w:r>
          </w:p>
        </w:tc>
      </w:tr>
      <w:tr>
        <w:tc>
          <w:tcPr>
            <w:tcW w:type="dxa" w:w="4706"/>
          </w:tcPr>
          <w:p>
            <w:pPr>
              <w:spacing w:after="40"/>
            </w:pPr>
            <w:r>
              <w:rPr>
                <w:sz w:val="19"/>
              </w:rPr>
            </w:r>
            <w:r>
              <w:rPr>
                <w:b/>
                <w:sz w:val="19"/>
              </w:rPr>
              <w:t>Sotto-studio ancillare</w:t>
            </w:r>
          </w:p>
        </w:tc>
        <w:tc>
          <w:tcPr>
            <w:tcW w:type="dxa" w:w="4706"/>
          </w:tcPr>
          <w:p>
            <w:pPr>
              <w:spacing w:after="40"/>
            </w:pPr>
            <w:r>
              <w:rPr>
                <w:sz w:val="19"/>
              </w:rPr>
            </w:r>
            <w:r>
              <w:rPr>
                <w:sz w:val="19"/>
              </w:rPr>
              <w:t>CEUS-DETECT-AI: sviluppo e validazione esterna di un modello di intelligenza artificiale per la detection/localizzazione di metastasi epatiche sui filmati CEUS prospetticamente archiviati e annotati (sezione 6.7), con split per paziente e validazione su centro genuinamente esterno</w:t>
            </w:r>
          </w:p>
        </w:tc>
      </w:tr>
    </w:tbl>
    <w:p>
      <w:pPr>
        <w:spacing w:after="40"/>
      </w:pPr>
    </w:p>
    <w:p>
      <w:pPr>
        <w:pStyle w:val="Heading2"/>
      </w:pPr>
      <w:r>
        <w:t>Sinossi del protocollo</w:t>
      </w:r>
    </w:p>
    <w:tbl>
      <w:tblPr>
        <w:tblStyle w:val="LightGrid-Accent1"/>
        <w:tblW w:type="auto" w:w="0"/>
        <w:jc w:val="center"/>
        <w:tblLook w:firstColumn="1" w:firstRow="1" w:lastColumn="0" w:lastRow="0" w:noHBand="0" w:noVBand="1" w:val="04A0"/>
      </w:tblPr>
      <w:tblGrid>
        <w:gridCol w:w="4706"/>
        <w:gridCol w:w="4706"/>
      </w:tblGrid>
      <w:tr>
        <w:tc>
          <w:tcPr>
            <w:tcW w:type="dxa" w:w="4706"/>
          </w:tcPr>
          <w:p>
            <w:pPr>
              <w:spacing w:after="40"/>
            </w:pPr>
            <w:r>
              <w:rPr>
                <w:b/>
                <w:sz w:val="19"/>
              </w:rPr>
            </w:r>
          </w:p>
        </w:tc>
        <w:tc>
          <w:tcPr>
            <w:tcW w:type="dxa" w:w="4706"/>
          </w:tcPr>
          <w:p>
            <w:pPr>
              <w:spacing w:after="40"/>
            </w:pPr>
            <w:r>
              <w:rPr>
                <w:b/>
                <w:sz w:val="19"/>
              </w:rPr>
            </w:r>
          </w:p>
        </w:tc>
      </w:tr>
      <w:tr>
        <w:tc>
          <w:tcPr>
            <w:tcW w:type="dxa" w:w="4706"/>
          </w:tcPr>
          <w:p>
            <w:pPr>
              <w:spacing w:after="40"/>
            </w:pPr>
            <w:r>
              <w:rPr>
                <w:sz w:val="19"/>
              </w:rPr>
            </w:r>
            <w:r>
              <w:rPr>
                <w:b/>
                <w:sz w:val="19"/>
              </w:rPr>
              <w:t>Quesito</w:t>
            </w:r>
          </w:p>
        </w:tc>
        <w:tc>
          <w:tcPr>
            <w:tcW w:type="dxa" w:w="4706"/>
          </w:tcPr>
          <w:p>
            <w:pPr>
              <w:spacing w:after="40"/>
            </w:pPr>
            <w:r>
              <w:rPr>
                <w:sz w:val="19"/>
              </w:rPr>
            </w:r>
            <w:r>
              <w:rPr>
                <w:sz w:val="19"/>
              </w:rPr>
              <w:t>Nei pazienti oncologici con imaging epatico precedente negativo e in sorveglianza attiva, la CEUS identifica metastasi epatiche incidenti non identificate dall’imaging standard concomitante?</w:t>
            </w:r>
          </w:p>
        </w:tc>
      </w:tr>
      <w:tr>
        <w:tc>
          <w:tcPr>
            <w:tcW w:type="dxa" w:w="4706"/>
          </w:tcPr>
          <w:p>
            <w:pPr>
              <w:spacing w:after="40"/>
            </w:pPr>
            <w:r>
              <w:rPr>
                <w:sz w:val="19"/>
              </w:rPr>
            </w:r>
            <w:r>
              <w:rPr>
                <w:b/>
                <w:sz w:val="19"/>
              </w:rPr>
              <w:t>Disegno</w:t>
            </w:r>
          </w:p>
        </w:tc>
        <w:tc>
          <w:tcPr>
            <w:tcW w:type="dxa" w:w="4706"/>
          </w:tcPr>
          <w:p>
            <w:pPr>
              <w:spacing w:after="40"/>
            </w:pPr>
            <w:r>
              <w:rPr>
                <w:sz w:val="19"/>
              </w:rPr>
            </w:r>
            <w:r>
              <w:rPr>
                <w:sz w:val="19"/>
              </w:rPr>
              <w:t>Studio osservazionale di accuratezza diagnostica e resa incrementale, in aperto. Fase retrospettiva monocentrica di fattibilità seguita da fase prospettica multicentrica ad arruolamento consecutivo</w:t>
            </w:r>
          </w:p>
        </w:tc>
      </w:tr>
      <w:tr>
        <w:tc>
          <w:tcPr>
            <w:tcW w:type="dxa" w:w="4706"/>
          </w:tcPr>
          <w:p>
            <w:pPr>
              <w:spacing w:after="40"/>
            </w:pPr>
            <w:r>
              <w:rPr>
                <w:sz w:val="19"/>
              </w:rPr>
            </w:r>
            <w:r>
              <w:rPr>
                <w:b/>
                <w:sz w:val="19"/>
              </w:rPr>
              <w:t>Popolazione</w:t>
            </w:r>
          </w:p>
        </w:tc>
        <w:tc>
          <w:tcPr>
            <w:tcW w:type="dxa" w:w="4706"/>
          </w:tcPr>
          <w:p>
            <w:pPr>
              <w:spacing w:after="40"/>
            </w:pPr>
            <w:r>
              <w:rPr>
                <w:sz w:val="19"/>
              </w:rPr>
            </w:r>
            <w:r>
              <w:rPr>
                <w:sz w:val="19"/>
              </w:rPr>
              <w:t>Pazienti adulti con neoplasia solida documentata, imaging epatico di riferimento negativo per metastasi entro finestra prespecificata, sottoposti a CEUS epatica nell’ambito della sorveglianza oncologica di routine</w:t>
            </w:r>
          </w:p>
        </w:tc>
      </w:tr>
      <w:tr>
        <w:tc>
          <w:tcPr>
            <w:tcW w:type="dxa" w:w="4706"/>
          </w:tcPr>
          <w:p>
            <w:pPr>
              <w:spacing w:after="40"/>
            </w:pPr>
            <w:r>
              <w:rPr>
                <w:sz w:val="19"/>
              </w:rPr>
            </w:r>
            <w:r>
              <w:rPr>
                <w:b/>
                <w:sz w:val="19"/>
              </w:rPr>
              <w:t>Coorte primaria</w:t>
            </w:r>
          </w:p>
        </w:tc>
        <w:tc>
          <w:tcPr>
            <w:tcW w:type="dxa" w:w="4706"/>
          </w:tcPr>
          <w:p>
            <w:pPr>
              <w:spacing w:after="40"/>
            </w:pPr>
            <w:r>
              <w:rPr>
                <w:sz w:val="19"/>
              </w:rPr>
            </w:r>
            <w:r>
              <w:rPr>
                <w:sz w:val="19"/>
              </w:rPr>
              <w:t>Carcinoma colorettale, strato in sorveglianza di routine</w:t>
            </w:r>
          </w:p>
        </w:tc>
      </w:tr>
      <w:tr>
        <w:tc>
          <w:tcPr>
            <w:tcW w:type="dxa" w:w="4706"/>
          </w:tcPr>
          <w:p>
            <w:pPr>
              <w:spacing w:after="40"/>
            </w:pPr>
            <w:r>
              <w:rPr>
                <w:sz w:val="19"/>
              </w:rPr>
            </w:r>
            <w:r>
              <w:rPr>
                <w:b/>
                <w:sz w:val="19"/>
              </w:rPr>
              <w:t>Endpoint primario</w:t>
            </w:r>
          </w:p>
        </w:tc>
        <w:tc>
          <w:tcPr>
            <w:tcW w:type="dxa" w:w="4706"/>
          </w:tcPr>
          <w:p>
            <w:pPr>
              <w:spacing w:after="40"/>
            </w:pPr>
            <w:r>
              <w:rPr>
                <w:sz w:val="19"/>
              </w:rPr>
            </w:r>
            <w:r>
              <w:rPr>
                <w:sz w:val="19"/>
              </w:rPr>
              <w:t>Incremental detection rate: proporzione di pazienti in cui la CEUS identifica metastasi epatiche incidenti non identificate dall’imaging standard concomitante e confermate alla verifica differita</w:t>
            </w:r>
          </w:p>
        </w:tc>
      </w:tr>
      <w:tr>
        <w:tc>
          <w:tcPr>
            <w:tcW w:type="dxa" w:w="4706"/>
          </w:tcPr>
          <w:p>
            <w:pPr>
              <w:spacing w:after="40"/>
            </w:pPr>
            <w:r>
              <w:rPr>
                <w:sz w:val="19"/>
              </w:rPr>
            </w:r>
            <w:r>
              <w:rPr>
                <w:b/>
                <w:sz w:val="19"/>
              </w:rPr>
              <w:t>Endpoint secondari</w:t>
            </w:r>
          </w:p>
        </w:tc>
        <w:tc>
          <w:tcPr>
            <w:tcW w:type="dxa" w:w="4706"/>
          </w:tcPr>
          <w:p>
            <w:pPr>
              <w:spacing w:after="40"/>
            </w:pPr>
            <w:r>
              <w:rPr>
                <w:sz w:val="19"/>
              </w:rPr>
            </w:r>
            <w:r>
              <w:rPr>
                <w:sz w:val="19"/>
              </w:rPr>
              <w:t>Sensibilità, specificità, valori predittivi e likelihood ratio; resa incrementale rispetto al B-mode; incremental detection rate "azionabile" (lesioni ≥1 cm o rilevanti per il management, sezione 2.2); anticipo diagnostico; impatto sul management clinico; performance per dimensione della lesione; tasso di esami non interpretabili</w:t>
            </w:r>
          </w:p>
        </w:tc>
      </w:tr>
      <w:tr>
        <w:tc>
          <w:tcPr>
            <w:tcW w:type="dxa" w:w="4706"/>
          </w:tcPr>
          <w:p>
            <w:pPr>
              <w:spacing w:after="40"/>
            </w:pPr>
            <w:r>
              <w:rPr>
                <w:sz w:val="19"/>
              </w:rPr>
            </w:r>
            <w:r>
              <w:rPr>
                <w:b/>
                <w:sz w:val="19"/>
              </w:rPr>
              <w:t>Numerosità</w:t>
            </w:r>
          </w:p>
        </w:tc>
        <w:tc>
          <w:tcPr>
            <w:tcW w:type="dxa" w:w="4706"/>
          </w:tcPr>
          <w:p>
            <w:pPr>
              <w:spacing w:after="40"/>
            </w:pPr>
            <w:r>
              <w:rPr>
                <w:sz w:val="19"/>
              </w:rPr>
            </w:r>
            <w:r>
              <w:rPr>
                <w:sz w:val="19"/>
              </w:rPr>
              <w:t>Circa 350 pazienti nella coorte primaria; conferma formale al termine della fase retrospettiva</w:t>
            </w:r>
          </w:p>
        </w:tc>
      </w:tr>
      <w:tr>
        <w:tc>
          <w:tcPr>
            <w:tcW w:type="dxa" w:w="4706"/>
          </w:tcPr>
          <w:p>
            <w:pPr>
              <w:spacing w:after="40"/>
            </w:pPr>
            <w:r>
              <w:rPr>
                <w:sz w:val="19"/>
              </w:rPr>
            </w:r>
            <w:r>
              <w:rPr>
                <w:b/>
                <w:sz w:val="19"/>
              </w:rPr>
              <w:t>Procedure aggiuntive</w:t>
            </w:r>
          </w:p>
        </w:tc>
        <w:tc>
          <w:tcPr>
            <w:tcW w:type="dxa" w:w="4706"/>
          </w:tcPr>
          <w:p>
            <w:pPr>
              <w:spacing w:after="40"/>
            </w:pPr>
            <w:r>
              <w:rPr>
                <w:sz w:val="19"/>
              </w:rPr>
            </w:r>
            <w:r>
              <w:rPr>
                <w:sz w:val="19"/>
              </w:rPr>
              <w:t>Nessuna. Tutti gli esami previsti dal protocollo fanno parte del percorso clinico ordinario</w:t>
            </w:r>
          </w:p>
        </w:tc>
      </w:tr>
      <w:tr>
        <w:tc>
          <w:tcPr>
            <w:tcW w:type="dxa" w:w="4706"/>
          </w:tcPr>
          <w:p>
            <w:pPr>
              <w:spacing w:after="40"/>
            </w:pPr>
            <w:r>
              <w:rPr>
                <w:sz w:val="19"/>
              </w:rPr>
            </w:r>
            <w:r>
              <w:rPr>
                <w:b/>
                <w:sz w:val="19"/>
              </w:rPr>
              <w:t>Rischi per i partecipanti</w:t>
            </w:r>
          </w:p>
        </w:tc>
        <w:tc>
          <w:tcPr>
            <w:tcW w:type="dxa" w:w="4706"/>
          </w:tcPr>
          <w:p>
            <w:pPr>
              <w:spacing w:after="40"/>
            </w:pPr>
            <w:r>
              <w:rPr>
                <w:sz w:val="19"/>
              </w:rPr>
            </w:r>
            <w:r>
              <w:rPr>
                <w:sz w:val="19"/>
              </w:rPr>
              <w:t>Nessun rischio aggiuntivo rispetto alla pratica clinica</w:t>
            </w:r>
          </w:p>
        </w:tc>
      </w:tr>
      <w:tr>
        <w:tc>
          <w:tcPr>
            <w:tcW w:type="dxa" w:w="4706"/>
          </w:tcPr>
          <w:p>
            <w:pPr>
              <w:spacing w:after="40"/>
            </w:pPr>
            <w:r>
              <w:rPr>
                <w:sz w:val="19"/>
              </w:rPr>
            </w:r>
            <w:r>
              <w:rPr>
                <w:b/>
                <w:sz w:val="19"/>
              </w:rPr>
              <w:t>Consenso informato</w:t>
            </w:r>
          </w:p>
        </w:tc>
        <w:tc>
          <w:tcPr>
            <w:tcW w:type="dxa" w:w="4706"/>
          </w:tcPr>
          <w:p>
            <w:pPr>
              <w:spacing w:after="40"/>
            </w:pPr>
            <w:r>
              <w:rPr>
                <w:sz w:val="19"/>
              </w:rPr>
            </w:r>
            <w:r>
              <w:rPr>
                <w:sz w:val="19"/>
              </w:rPr>
              <w:t>Scritto per la componente prospettica; per la componente retrospettiva secondo le modalità indicate dal Comitato Etico per gli studi osservazionali su dati di routine</w:t>
            </w:r>
          </w:p>
        </w:tc>
      </w:tr>
    </w:tbl>
    <w:p>
      <w:pPr>
        <w:spacing w:after="40"/>
      </w:pPr>
    </w:p>
    <w:p>
      <w:pPr>
        <w:pStyle w:val="Heading2"/>
      </w:pPr>
      <w:r>
        <w:t>Abbreviazioni</w:t>
      </w:r>
    </w:p>
    <w:p>
      <w:r>
        <w:t>CEUS: ecografia con mezzo di contrasto — CRC: carcinoma colorettale — GEE: generalized estimating equations — IM: indice meccanico — LR+/LR−: likelihood ratio positivo e negativo — NET: tumore neuroendocrino — NNS: number needed to screen — RM: risonanza magnetica — TC: tomografia computerizzata — VPP/VPN: valore predittivo positivo e negativo</w:t>
      </w:r>
    </w:p>
    <w:p>
      <w:pPr>
        <w:pStyle w:val="Heading1"/>
      </w:pPr>
      <w:r>
        <w:t>1. Razionale e background</w:t>
      </w:r>
    </w:p>
    <w:p>
      <w:pPr>
        <w:pStyle w:val="Heading2"/>
      </w:pPr>
      <w:r>
        <w:t>1.1 Contesto clinico</w:t>
      </w:r>
    </w:p>
    <w:p>
      <w:r>
        <w:t>Il fegato è la sede più comune di malattia metastatica nei tumori solidi. Nei programmi di sorveglianza oncologica attiva l’identificazione precoce della comparsa di metastasi epatiche è rilevante per rivalutare la resecabilità, modificare la strategia terapeutica e ridefinire il rischio prognostico. La sorveglianza standard si basa su tomografia computerizzata multifase o risonanza magnetica con mezzo di contrasto, con la modalità determinata dal tumore primitivo, dalle linee guida di riferimento e dalla pratica del centro.</w:t>
      </w:r>
    </w:p>
    <w:p>
      <w:r>
        <w:t>L’ecografia con mezzo di contrasto (CEUS) con agenti di seconda generazione a base di esafluoruro di zolfo è una metodica consolidata per la caratterizzazione delle lesioni focali epatiche ed è parte della pratica clinica corrente. Le linee guida WFUMB-EFSUMB 2020 la raccomandano come metodica di primo livello con mezzo di contrasto in presenza di controindicazioni ai mezzi di contrasto iodati o al gadolinio, e come complemento in caso di TC o RM inconcludenti [1]. Il pattern diagnostico riconosciuto per le metastasi epatiche è il washout precoce, con esordio entro 60 secondi, e o marcato in fase portale e tardiva, con o senza rim-arterial phase hyperenhancement in fase arteriosa.</w:t>
      </w:r>
    </w:p>
    <w:p>
      <w:pPr>
        <w:pStyle w:val="Heading2"/>
      </w:pPr>
      <w:r>
        <w:t>1.2 Stato delle conoscenze</w:t>
      </w:r>
    </w:p>
    <w:p>
      <w:r>
        <w:t>La letteratura sull’accuratezza diagnostica della CEUS per le metastasi epatiche riguarda prevalentemente due contesti: la caratterizzazione di lesioni focali note o sospette e la stadiazione iniziale del carcinoma colorettale.</w:t>
      </w:r>
    </w:p>
    <w:p>
      <w:r>
        <w:t>Piscaglia et al. hanno mostrato su 109 pazienti con carcinoma colorettale o gastrico che la CEUS aumenta la sensibilità per la detection di metastasi epatiche dal 76,9% dell’ecografia convenzionale al 95,4%, con performance comparabile alla TC multifase, pari al 90,8% [3]. Rafaelsen e Jakobsen hanno confermato su 271 pazienti con carcinoma colorettale una sensibilità equivalente tra CEUS e TC multifase, pari all’85,7%, con valore predittivo negativo del 99% [4]. Cantisani et al. hanno riportato risultati coerenti nel confronto tra CEUS, TC e RM [5].</w:t>
      </w:r>
    </w:p>
    <w:p>
      <w:r>
        <w:t>Il contributo più rilevante al razionale del presente studio è quello di Sawatzki et al., che hanno analizzato prospetticamente 296 pazienti con carcinoma colorettale di nuova diagnosi e TC di stadiazione negativa per metastasi epatiche: la CEUS ha rilevato metastasi aggiuntive nel 2,7% dei pazienti, con una proporzione del 4,0% nei tumori T3 e T4, e un impatto sulla strategia terapeutica nel 75% di questi casi; il numero necessario da esaminare per identificare una metastasi aggiuntiva era pari a 37 nella coorte complessiva [2]. Va precisato che quello studio riguarda un unico momento diagnostico, la stadiazione iniziale, e non il follow-up longitudinale di pazienti con imaging epatico precedente negativo documentato.</w:t>
      </w:r>
    </w:p>
    <w:p>
      <w:r>
        <w:t>Una revisione sistematica con meta-analisi ha mostrato performance diagnostiche della CEUS complessivamente vicine a quelle di TC e RM nei contesti studiati, evidenziando al contempo l’eterogeneità della letteratura disponibile e la scarsità di dati nel setting della sorveglianza longitudinale [6].</w:t>
      </w:r>
    </w:p>
    <w:p>
      <w:pPr>
        <w:pStyle w:val="Heading2"/>
      </w:pPr>
      <w:r>
        <w:t>1.3 Lacuna conoscitiva e ipotesi di studio</w:t>
      </w:r>
    </w:p>
    <w:p>
      <w:r>
        <w:t>Il ruolo della CEUS come strumento di sorveglianza longitudinale, ossia per la detection della prima comparsa di metastasi epatiche in pazienti oncologici con imaging precedente negativo documentato, non è stato sistematicamente studiato. Questo contesto differisce da quelli finora indagati per prevalenza attesa, dimensione attesa delle lesioni e stato del parenchima epatico di base.</w:t>
      </w:r>
    </w:p>
    <w:p>
      <w:r>
        <w:t>L’ipotesi dello studio è che in questo setting, dove il parenchima è documentatamente indenne e il contrasto tra tessuto sano e lesione emergente è potenzialmente massimo, la CEUS possa identificare lesioni metastatiche non rilevate dall’imaging standard concomitante.</w:t>
      </w:r>
    </w:p>
    <w:p>
      <w:r>
        <w:t>L’ipotesi è biologicamente ragionevole ma non dimostrata. Lesioni profonde, lesioni subcapsulari posteriori, il fegato steatosico e la finestra acustica sfavorevole rappresentano limiti noti della metodica, mentre la risonanza magnetica con mezzo di contrasto epatospecifico mantiene una sensibilità superiore per le lesioni di piccole dimensioni. Lo studio si propone di verificare l’ipotesi in modo prospettico e con verifica non differenziale.</w:t>
      </w:r>
    </w:p>
    <w:p>
      <w:pPr>
        <w:pStyle w:val="Heading2"/>
      </w:pPr>
      <w:r>
        <w:t>1.4 Rilevanza attesa</w:t>
      </w:r>
    </w:p>
    <w:p>
      <w:r>
        <w:t xml:space="preserve">Qualora la CEUS mostrasse una resa incrementale rilevante nel setting della sorveglianza, potrebbe essere considerata come strumento integrativo dei percorsi di follow-up oncologico, con potenziali benefici in termini di riduzione dell’esposizione radiante cumulativa, contenimento del rischio nefrotossico associato ai mezzi di contrasto iodati e ottimizzazione dell’impiego delle risorse diagnostiche. Tali prospettive restano condizionate ai risultati dello studio e non costituiscono assunzioni del protocollo. </w:t>
      </w:r>
      <w:r>
        <w:rPr>
          <w:i/>
        </w:rPr>
        <w:t>Va segnalato con onestà, in fase di revisione, che non è stata reperita una letteratura recente e specifica che quantifichi la dose radiante cumulativa evitabile in pazienti oncologici adulti sottoposti a sorveglianza epatica ripetuta: questo argomento resta un razionale plausibile ma non ancora misurato con dati dedicati, e come tale va presentato — non come beneficio già dimostrato.</w:t>
      </w:r>
    </w:p>
    <w:p>
      <w:pPr>
        <w:pStyle w:val="Heading2"/>
      </w:pPr>
      <w:r>
        <w:t>1.5 Aggiornamento bibliografico e correzione (nuovo, in sede di revisione)</w:t>
      </w:r>
    </w:p>
    <w:p>
      <w:r>
        <w:t>La verifica bibliografica indipendente condotta in fase di revisione di questo protocollo ha identificato un errore nella paginazione della citazione di Sawatzki et al. nella bibliografia della v5: le pagine corrette sono 74(2):419–427, non 281–288 (bibliografia, voce 2, corretta in questa versione). Il contenuto sostanziale citato nel testo resta confermato.</w:t>
      </w:r>
    </w:p>
    <w:p>
      <w:r>
        <w:t xml:space="preserve">La stessa verifica ha identificato una pubblicazione recente e direttamente pertinente al sotto-studio di intelligenza artificiale ancillare introdotto in questa revisione (sezione 6.7): </w:t>
      </w:r>
      <w:r>
        <w:rPr>
          <w:b/>
        </w:rPr>
        <w:t>STARD-AI</w:t>
      </w:r>
      <w:r>
        <w:t>, l'estensione della guideline STARD 2015 specifica per gli studi di accuratezza diagnostica con componente di intelligenza artificiale, sviluppata da un consorzio internazionale che include il gruppo fondatore di STARD [9]. Il protocollo adotta STARD-AI, in aggiunta a STARD 2015, per la componente ancillare.</w:t>
      </w:r>
    </w:p>
    <w:p>
      <w:r>
        <w:t xml:space="preserve">Infine, la letteratura reperita su intelligenza artificiale applicata a imaging pancreatico è risultata dominata da ecoendoscopia (EUS), tomografia computerizzata e risonanza magnetica: </w:t>
      </w:r>
      <w:r>
        <w:rPr>
          <w:b/>
        </w:rPr>
        <w:t>non è stato reperito alcuno studio con intelligenza artificiale applicata a CEUS o a ecografia transaddominale pancreatica con validazione esterna multicentrica</w:t>
      </w:r>
      <w:r>
        <w:t xml:space="preserve"> [10,11]. Questo conferma, da una prospettiva di letteratura indipendente, la difficoltà strutturale dell'imaging ecografico transaddominale per il pancreas — coerente con un dato diretto e riproducibile riportato in un lavoro metodologico recente su altre applicazioni di intelligenza artificiale all'ecografia addominale, in cui la segmentazione del pancreas ha ottenuto la performance peggiore fra gli organi testati (fegato, colecisti, milza, pancreas), per ragioni fisiche di profondità, finestra acustica e dipendenza dall'operatore [12]. Questo dato di cautela — non di opportunità — motiva l'analisi separata di qualità/interpretabilità per il sottogruppo pancreatico-biliare introdotta in sezione 4.5.</w:t>
      </w:r>
    </w:p>
    <w:p>
      <w:pPr>
        <w:pStyle w:val="Heading1"/>
      </w:pPr>
      <w:r>
        <w:t>2. Obiettivi</w:t>
      </w:r>
    </w:p>
    <w:p>
      <w:pPr>
        <w:pStyle w:val="Heading2"/>
      </w:pPr>
      <w:r>
        <w:t>2.1 Obiettivo primario</w:t>
      </w:r>
    </w:p>
    <w:p>
      <w:r>
        <w:t>Determinare l’incremental detection rate della CEUS nella coorte primaria, definito come la proporzione di pazienti in cui la CEUS identifica metastasi epatiche incidenti non identificate dall’imaging standard concomitante e confermate dal reference standard composito con verifica differita.</w:t>
      </w:r>
    </w:p>
    <w:p>
      <w:pPr>
        <w:pStyle w:val="Heading2"/>
      </w:pPr>
      <w:r>
        <w:t>2.2 Obiettivi secondari</w:t>
      </w:r>
    </w:p>
    <w:p>
      <w:r>
        <w:t>Nella coorte primaria:</w:t>
      </w:r>
    </w:p>
    <w:p>
      <w:pPr>
        <w:pStyle w:val="ListBullet"/>
      </w:pPr>
      <w:r>
        <w:t>Sensibilità, specificità, valore predittivo positivo, valore predittivo negativo, likelihood ratio positivo e negativo della CEUS, in analisi per paziente.</w:t>
      </w:r>
    </w:p>
    <w:p>
      <w:pPr>
        <w:pStyle w:val="ListBullet"/>
      </w:pPr>
      <w:r>
        <w:t>Resa incrementale della CEUS rispetto alla sola ecografia B-mode.</w:t>
      </w:r>
    </w:p>
    <w:p>
      <w:pPr>
        <w:pStyle w:val="ListBullet"/>
      </w:pPr>
      <w:r>
        <w:rPr>
          <w:b/>
        </w:rPr>
        <w:t>Incremental detection rate "azionabile" (nuovo)</w:t>
      </w:r>
      <w:r>
        <w:t>: proporzione di pazienti in cui la CEUS identifica metastasi epatiche incidenti che soddisfano, a priori, una soglia di rilevanza clinica (dimensione ≥1 cm, oppure sede/numero tali da poter motivare una rivalutazione della resecabilità o una modifica della terapia sistemica secondo la definizione operativa di impatto sul management, sezione 7.4), riportata accanto al tasso grezzo per evitare che l'endpoint primario sia trainato da reperti di rilevanza clinica marginale.</w:t>
      </w:r>
    </w:p>
    <w:p>
      <w:pPr>
        <w:pStyle w:val="ListBullet"/>
      </w:pPr>
      <w:r>
        <w:t>Anticipo diagnostico rispetto al reference standard concomitante, con quantificazione dell’intervallo temporale.</w:t>
      </w:r>
    </w:p>
    <w:p>
      <w:pPr>
        <w:pStyle w:val="ListBullet"/>
      </w:pPr>
      <w:r>
        <w:t>Impatto sul management clinico secondo definizione operativa prespecificata.</w:t>
      </w:r>
    </w:p>
    <w:p>
      <w:pPr>
        <w:pStyle w:val="ListBullet"/>
      </w:pPr>
      <w:r>
        <w:t>Performance diagnostica per classe dimensionale della lesione.</w:t>
      </w:r>
    </w:p>
    <w:p>
      <w:pPr>
        <w:pStyle w:val="ListBullet"/>
      </w:pPr>
      <w:r>
        <w:t>Tasso di esami non interpretabili e relativi determinanti.</w:t>
      </w:r>
    </w:p>
    <w:p>
      <w:pPr>
        <w:pStyle w:val="ListBullet"/>
      </w:pPr>
      <w:r>
        <w:t>Number needed to screen.</w:t>
      </w:r>
    </w:p>
    <w:p>
      <w:pPr>
        <w:pStyle w:val="Heading2"/>
      </w:pPr>
      <w:r>
        <w:t>2.3 Obiettivi esplorativi</w:t>
      </w:r>
    </w:p>
    <w:p>
      <w:pPr>
        <w:pStyle w:val="ListBullet"/>
      </w:pPr>
      <w:r>
        <w:t>Resa incrementale e accuratezza nella coorte non-CRC complessiva e per singolo tumore primitivo, con soglia minima di 20 pazienti per sottogruppo.</w:t>
      </w:r>
    </w:p>
    <w:p>
      <w:pPr>
        <w:pStyle w:val="ListBullet"/>
      </w:pPr>
      <w:r>
        <w:t>Confronto tra coorte CRC e coorte non-CRC.</w:t>
      </w:r>
    </w:p>
    <w:p>
      <w:pPr>
        <w:pStyle w:val="ListBullet"/>
      </w:pPr>
      <w:r>
        <w:t>Confronto tra lo strato in sorveglianza di routine e lo strato con sospetto clinico di progressione.</w:t>
      </w:r>
    </w:p>
    <w:p>
      <w:r>
        <w:t>Gli obiettivi esplorativi e le analisi per sottogruppo non sono dimensionati per fornire stime conclusive e sono dichiarati ipotesi-generanti.</w:t>
      </w:r>
    </w:p>
    <w:p>
      <w:pPr>
        <w:pStyle w:val="Heading1"/>
      </w:pPr>
      <w:r>
        <w:t>3. Disegno dello studio</w:t>
      </w:r>
    </w:p>
    <w:p>
      <w:r>
        <w:t>Studio osservazionale non interventistico di accuratezza diagnostica e resa incrementale, in aperto, articolato in due fasi. Lo studio non prevede assegnazione a trattamenti, non modifica il percorso diagnostico o terapeutico dei partecipanti e non introduce procedure aggiuntive rispetto alla pratica clinica.</w:t>
      </w:r>
    </w:p>
    <w:p>
      <w:pPr>
        <w:pStyle w:val="Heading2"/>
      </w:pPr>
      <w:r>
        <w:t>3.1 Fase retrospettiva monocentrica di fattibilità</w:t>
      </w:r>
    </w:p>
    <w:p>
      <w:r>
        <w:t>Analisi di tutti i pazienti oncologici sottoposti a CEUS epatica di sorveglianza presso il centro coordinatore nei ventiquattro mesi precedenti l’avvio dello studio, definita coorte all-comers. Obiettivi della fase:</w:t>
      </w:r>
    </w:p>
    <w:p>
      <w:pPr>
        <w:pStyle w:val="ListNumber"/>
      </w:pPr>
      <w:r>
        <w:t>stimare la prevalenza di metastasi epatiche incidenti nella coorte in sorveglianza, distintamente per CRC e non-CRC;</w:t>
      </w:r>
    </w:p>
    <w:p>
      <w:pPr>
        <w:pStyle w:val="ListNumber"/>
      </w:pPr>
      <w:r>
        <w:t>quantificare la proporzione di pazienti con reference standard disponibile entro otto settimane, definita coorte analitica;</w:t>
      </w:r>
    </w:p>
    <w:p>
      <w:pPr>
        <w:pStyle w:val="ListNumber"/>
      </w:pPr>
      <w:r>
        <w:t>caratterizzare le differenze tra coorte all-comers e coorte analitica al fine di stimare il verification bias;</w:t>
      </w:r>
    </w:p>
    <w:p>
      <w:pPr>
        <w:pStyle w:val="ListNumber"/>
      </w:pPr>
      <w:r>
        <w:t>aggiornare formalmente il calcolo della numerosità campionaria della fase prospettica.</w:t>
      </w:r>
    </w:p>
    <w:p>
      <w:r>
        <w:t>Il confronto tra coorte all-comers e coorte analitica ha lo scopo di stimare, e non di eliminare, il verification bias intrinseco alla fase retrospettiva. I risultati della fase retrospettiva sono riportati come sezione autonoma del manoscritto.</w:t>
      </w:r>
    </w:p>
    <w:p>
      <w:r>
        <w:t>Qualora la prevalenza osservata risultasse inferiore al 10%, la fase prospettica sarà ridimensionata mediante ampliamento del numero di centri partecipanti e non mediante prolungamento dell’arruolamento presso il singolo centro.</w:t>
      </w:r>
    </w:p>
    <w:p>
      <w:pPr>
        <w:pStyle w:val="Heading2"/>
      </w:pPr>
      <w:r>
        <w:t>3.2 Fase prospettica multicentrica</w:t>
      </w:r>
    </w:p>
    <w:p>
      <w:r>
        <w:t>Arruolamento consecutivo dei pazienti eleggibili presso i centri partecipanti. Requisiti per la partecipazione di un centro: disponibilità della CEUS epatica nella pratica clinica di routine; ecografo di fascia alta con software dedicato per imaging a basso indice meccanico; possibilità di archiviazione digitale dei filmati; adesione formale al protocollo di acquisizione condiviso.</w:t>
      </w:r>
    </w:p>
    <w:p>
      <w:r>
        <w:t>Presso il centro coordinatore vengono eseguite circa venti CEUS al giorno, di cui una quota stimata tra il 30% e il 40% in ambito oncologico epatico potenzialmente eleggibile, con archiviazione digitale sistematica già operativa.</w:t>
      </w:r>
    </w:p>
    <w:p>
      <w:pPr>
        <w:pStyle w:val="Heading1"/>
      </w:pPr>
      <w:r>
        <w:t>4. Popolazione in studio</w:t>
      </w:r>
    </w:p>
    <w:p>
      <w:pPr>
        <w:pStyle w:val="Heading2"/>
      </w:pPr>
      <w:r>
        <w:t>4.1 Criteri di inclusione</w:t>
      </w:r>
    </w:p>
    <w:p>
      <w:pPr>
        <w:pStyle w:val="ListBullet"/>
      </w:pPr>
      <w:r>
        <w:t>Diagnosi documentata di neoplasia solida. Il carcinoma colorettale costituisce la coorte primaria; le altre neoplasie costituiscono coorte esplorativa prespecificata.</w:t>
      </w:r>
    </w:p>
    <w:p>
      <w:pPr>
        <w:pStyle w:val="ListBullet"/>
      </w:pPr>
      <w:r>
        <w:t>Imaging epatico di riferimento negativo per metastasi epatiche, eseguito entro la finestra operativa prespecificata per il tumore primitivo secondo la Tabella 1.</w:t>
      </w:r>
    </w:p>
    <w:p>
      <w:pPr>
        <w:pStyle w:val="ListBullet"/>
      </w:pPr>
      <w:r>
        <w:t>Esecuzione di CEUS epatica nell’ambito del percorso di sorveglianza oncologica.</w:t>
      </w:r>
    </w:p>
    <w:p>
      <w:pPr>
        <w:pStyle w:val="ListBullet"/>
      </w:pPr>
      <w:r>
        <w:t>Età pari o superiore a 18 anni.</w:t>
      </w:r>
    </w:p>
    <w:p>
      <w:pPr>
        <w:pStyle w:val="ListBullet"/>
      </w:pPr>
      <w:r>
        <w:t>Consenso informato scritto per la componente prospettica.</w:t>
      </w:r>
    </w:p>
    <w:p>
      <w:pPr>
        <w:pStyle w:val="Heading2"/>
      </w:pPr>
      <w:r>
        <w:t>4.2 Stratificazione prespecificata</w:t>
      </w:r>
    </w:p>
    <w:p>
      <w:r>
        <w:t>L’arruolamento distingue due strati, analizzati separatamente:</w:t>
      </w:r>
    </w:p>
    <w:p>
      <w:r>
        <w:rPr>
          <w:b/>
        </w:rPr>
        <w:t>Strato A — sorveglianza di routine.</w:t>
      </w:r>
      <w:r>
        <w:t xml:space="preserve"> CEUS eseguita secondo calendario di follow-up programmato, in assenza di sospetto clinico o laboratoristico di progressione. Costituisce la popolazione primaria dello studio.</w:t>
      </w:r>
    </w:p>
    <w:p>
      <w:r>
        <w:rPr>
          <w:b/>
        </w:rPr>
        <w:t>Strato B — sospetto di progressione.</w:t>
      </w:r>
      <w:r>
        <w:t xml:space="preserve"> CEUS eseguita in presenza di incremento dei marcatori tumorali, sintomatologia o altro sospetto clinico di progressione. Analizzato separatamente in quanto la probabilità pre-test e lo spettro di malattia differiscono sostanzialmente da quelli dello strato A.</w:t>
      </w:r>
    </w:p>
    <w:p>
      <w:pPr>
        <w:pStyle w:val="Heading2"/>
      </w:pPr>
      <w:r>
        <w:t>4.3 Criteri di esclusione</w:t>
      </w:r>
    </w:p>
    <w:p>
      <w:pPr>
        <w:pStyle w:val="ListBullet"/>
      </w:pPr>
      <w:r>
        <w:t>Cirrosi epatica nota.</w:t>
      </w:r>
    </w:p>
    <w:p>
      <w:pPr>
        <w:pStyle w:val="ListBullet"/>
      </w:pPr>
      <w:r>
        <w:t>Metastasi epatiche già note o già sospette al momento dell’esame indice.</w:t>
      </w:r>
    </w:p>
    <w:p>
      <w:pPr>
        <w:pStyle w:val="ListBullet"/>
      </w:pPr>
      <w:r>
        <w:t>Trattamento locale epatico nei sei mesi precedenti, inclusi resezione, ablazione, chemioembolizzazione e radioembolizzazione.</w:t>
      </w:r>
    </w:p>
    <w:p>
      <w:pPr>
        <w:pStyle w:val="ListBullet"/>
      </w:pPr>
      <w:r>
        <w:t>Dati clinici o di imaging insufficienti per la classificazione.</w:t>
      </w:r>
    </w:p>
    <w:p>
      <w:r>
        <w:t>La qualità inadeguata dell’esame per finestra acustica sfavorevole non costituisce criterio di esclusione. Gli esami non interpretabili sono registrati con la relativa motivazione, riportati nel diagramma di flusso, analizzati nei loro determinanti e inclusi nell’analisi intention-to-diagnose descritta alla sezione 9.5. La loro esclusione rimuoverebbe dal denominatore i pazienti nei quali la metodica presenta i propri limiti, con sovrastima della performance e compromissione della validità esterna dei risultati.</w:t>
      </w:r>
    </w:p>
    <w:p>
      <w:pPr>
        <w:pStyle w:val="Heading2"/>
      </w:pPr>
      <w:r>
        <w:t>4.4 Finestre operative per l’imaging di riferimento negativo</w:t>
      </w:r>
    </w:p>
    <w:p>
      <w:r>
        <w:t>Le finestre riportate nella Tabella 1 sono scelte operative prespecificate del protocollo, adottate per garantire omogeneità metodologica tra i centri. Non costituiscono trascrizione normativa delle linee guida di follow-up, che variano in funzione dello stadio, della linea di terapia e della pratica del centro. I valori indicati rappresentano la finestra massima accettabile per considerare un paziente privo di metastasi epatiche ai fini dell’arruolamento.</w:t>
      </w:r>
    </w:p>
    <w:p>
      <w:r>
        <w:rPr>
          <w:b/>
        </w:rPr>
        <w:t>Tabella 1 — Finestre operative prespecificate</w:t>
      </w:r>
    </w:p>
    <w:tbl>
      <w:tblPr>
        <w:tblStyle w:val="LightGrid-Accent1"/>
        <w:tblW w:type="auto" w:w="0"/>
        <w:jc w:val="center"/>
        <w:tblLook w:firstColumn="1" w:firstRow="1" w:lastColumn="0" w:lastRow="0" w:noHBand="0" w:noVBand="1" w:val="04A0"/>
      </w:tblPr>
      <w:tblGrid>
        <w:gridCol w:w="3137"/>
        <w:gridCol w:w="3137"/>
        <w:gridCol w:w="3137"/>
      </w:tblGrid>
      <w:tr>
        <w:tc>
          <w:tcPr>
            <w:tcW w:type="dxa" w:w="3137"/>
          </w:tcPr>
          <w:p>
            <w:pPr>
              <w:spacing w:after="40"/>
            </w:pPr>
            <w:r>
              <w:rPr>
                <w:b/>
                <w:sz w:val="19"/>
              </w:rPr>
            </w:r>
            <w:r>
              <w:rPr>
                <w:b/>
                <w:sz w:val="19"/>
              </w:rPr>
              <w:t>Tumore primitivo</w:t>
            </w:r>
          </w:p>
        </w:tc>
        <w:tc>
          <w:tcPr>
            <w:tcW w:type="dxa" w:w="3137"/>
          </w:tcPr>
          <w:p>
            <w:pPr>
              <w:spacing w:after="40"/>
            </w:pPr>
            <w:r>
              <w:rPr>
                <w:b/>
                <w:sz w:val="19"/>
              </w:rPr>
            </w:r>
            <w:r>
              <w:rPr>
                <w:b/>
                <w:sz w:val="19"/>
              </w:rPr>
              <w:t>Finestra massima</w:t>
            </w:r>
          </w:p>
        </w:tc>
        <w:tc>
          <w:tcPr>
            <w:tcW w:type="dxa" w:w="3137"/>
          </w:tcPr>
          <w:p>
            <w:pPr>
              <w:spacing w:after="40"/>
            </w:pPr>
            <w:r>
              <w:rPr>
                <w:b/>
                <w:sz w:val="19"/>
              </w:rPr>
            </w:r>
            <w:r>
              <w:rPr>
                <w:b/>
                <w:sz w:val="19"/>
              </w:rPr>
              <w:t>Razionale operativo</w:t>
            </w:r>
          </w:p>
        </w:tc>
      </w:tr>
      <w:tr>
        <w:tc>
          <w:tcPr>
            <w:tcW w:type="dxa" w:w="3137"/>
          </w:tcPr>
          <w:p>
            <w:pPr>
              <w:spacing w:after="40"/>
            </w:pPr>
            <w:r>
              <w:rPr>
                <w:sz w:val="19"/>
              </w:rPr>
            </w:r>
            <w:r>
              <w:rPr>
                <w:sz w:val="19"/>
              </w:rPr>
              <w:t>Carcinoma colorettale</w:t>
            </w:r>
          </w:p>
        </w:tc>
        <w:tc>
          <w:tcPr>
            <w:tcW w:type="dxa" w:w="3137"/>
          </w:tcPr>
          <w:p>
            <w:pPr>
              <w:spacing w:after="40"/>
            </w:pPr>
            <w:r>
              <w:rPr>
                <w:sz w:val="19"/>
              </w:rPr>
            </w:r>
            <w:r>
              <w:rPr>
                <w:sz w:val="19"/>
              </w:rPr>
              <w:t>6 mesi</w:t>
            </w:r>
          </w:p>
        </w:tc>
        <w:tc>
          <w:tcPr>
            <w:tcW w:type="dxa" w:w="3137"/>
          </w:tcPr>
          <w:p>
            <w:pPr>
              <w:spacing w:after="40"/>
            </w:pPr>
            <w:r>
              <w:rPr>
                <w:sz w:val="19"/>
              </w:rPr>
            </w:r>
            <w:r>
              <w:rPr>
                <w:sz w:val="19"/>
              </w:rPr>
              <w:t>Elevata frequenza di follow-up imaging</w:t>
            </w:r>
          </w:p>
        </w:tc>
      </w:tr>
      <w:tr>
        <w:tc>
          <w:tcPr>
            <w:tcW w:type="dxa" w:w="3137"/>
          </w:tcPr>
          <w:p>
            <w:pPr>
              <w:spacing w:after="40"/>
            </w:pPr>
            <w:r>
              <w:rPr>
                <w:sz w:val="19"/>
              </w:rPr>
            </w:r>
            <w:r>
              <w:rPr>
                <w:sz w:val="19"/>
              </w:rPr>
              <w:t>Carcinoma pancreatico e delle vie biliari</w:t>
            </w:r>
          </w:p>
        </w:tc>
        <w:tc>
          <w:tcPr>
            <w:tcW w:type="dxa" w:w="3137"/>
          </w:tcPr>
          <w:p>
            <w:pPr>
              <w:spacing w:after="40"/>
            </w:pPr>
            <w:r>
              <w:rPr>
                <w:sz w:val="19"/>
              </w:rPr>
            </w:r>
            <w:r>
              <w:rPr>
                <w:sz w:val="19"/>
              </w:rPr>
              <w:t>3 mesi</w:t>
            </w:r>
          </w:p>
        </w:tc>
        <w:tc>
          <w:tcPr>
            <w:tcW w:type="dxa" w:w="3137"/>
          </w:tcPr>
          <w:p>
            <w:pPr>
              <w:spacing w:after="40"/>
            </w:pPr>
            <w:r>
              <w:rPr>
                <w:sz w:val="19"/>
              </w:rPr>
            </w:r>
            <w:r>
              <w:rPr>
                <w:sz w:val="19"/>
              </w:rPr>
              <w:t>Aggressività biologica; intervalli di follow-up brevi</w:t>
            </w:r>
          </w:p>
        </w:tc>
      </w:tr>
      <w:tr>
        <w:tc>
          <w:tcPr>
            <w:tcW w:type="dxa" w:w="3137"/>
          </w:tcPr>
          <w:p>
            <w:pPr>
              <w:spacing w:after="40"/>
            </w:pPr>
            <w:r>
              <w:rPr>
                <w:sz w:val="19"/>
              </w:rPr>
            </w:r>
            <w:r>
              <w:rPr>
                <w:sz w:val="19"/>
              </w:rPr>
              <w:t>Carcinoma mammario, stadio III–IV</w:t>
            </w:r>
          </w:p>
        </w:tc>
        <w:tc>
          <w:tcPr>
            <w:tcW w:type="dxa" w:w="3137"/>
          </w:tcPr>
          <w:p>
            <w:pPr>
              <w:spacing w:after="40"/>
            </w:pPr>
            <w:r>
              <w:rPr>
                <w:sz w:val="19"/>
              </w:rPr>
            </w:r>
            <w:r>
              <w:rPr>
                <w:sz w:val="19"/>
              </w:rPr>
              <w:t>6 mesi</w:t>
            </w:r>
          </w:p>
        </w:tc>
        <w:tc>
          <w:tcPr>
            <w:tcW w:type="dxa" w:w="3137"/>
          </w:tcPr>
          <w:p>
            <w:pPr>
              <w:spacing w:after="40"/>
            </w:pPr>
            <w:r>
              <w:rPr>
                <w:sz w:val="19"/>
              </w:rPr>
            </w:r>
            <w:r>
              <w:rPr>
                <w:sz w:val="19"/>
              </w:rPr>
              <w:t>Coerenza con la sorveglianza standard</w:t>
            </w:r>
          </w:p>
        </w:tc>
      </w:tr>
      <w:tr>
        <w:tc>
          <w:tcPr>
            <w:tcW w:type="dxa" w:w="3137"/>
          </w:tcPr>
          <w:p>
            <w:pPr>
              <w:spacing w:after="40"/>
            </w:pPr>
            <w:r>
              <w:rPr>
                <w:sz w:val="19"/>
              </w:rPr>
            </w:r>
            <w:r>
              <w:rPr>
                <w:sz w:val="19"/>
              </w:rPr>
              <w:t>Carcinoma polmonare</w:t>
            </w:r>
          </w:p>
        </w:tc>
        <w:tc>
          <w:tcPr>
            <w:tcW w:type="dxa" w:w="3137"/>
          </w:tcPr>
          <w:p>
            <w:pPr>
              <w:spacing w:after="40"/>
            </w:pPr>
            <w:r>
              <w:rPr>
                <w:sz w:val="19"/>
              </w:rPr>
            </w:r>
            <w:r>
              <w:rPr>
                <w:sz w:val="19"/>
              </w:rPr>
              <w:t>3 mesi</w:t>
            </w:r>
          </w:p>
        </w:tc>
        <w:tc>
          <w:tcPr>
            <w:tcW w:type="dxa" w:w="3137"/>
          </w:tcPr>
          <w:p>
            <w:pPr>
              <w:spacing w:after="40"/>
            </w:pPr>
            <w:r>
              <w:rPr>
                <w:sz w:val="19"/>
              </w:rPr>
            </w:r>
            <w:r>
              <w:rPr>
                <w:sz w:val="19"/>
              </w:rPr>
              <w:t>Rivalutazioni frequenti durante terapia sistemica</w:t>
            </w:r>
          </w:p>
        </w:tc>
      </w:tr>
      <w:tr>
        <w:tc>
          <w:tcPr>
            <w:tcW w:type="dxa" w:w="3137"/>
          </w:tcPr>
          <w:p>
            <w:pPr>
              <w:spacing w:after="40"/>
            </w:pPr>
            <w:r>
              <w:rPr>
                <w:sz w:val="19"/>
              </w:rPr>
            </w:r>
            <w:r>
              <w:rPr>
                <w:sz w:val="19"/>
              </w:rPr>
              <w:t>Tumori neuroendocrini G1–G2</w:t>
            </w:r>
          </w:p>
        </w:tc>
        <w:tc>
          <w:tcPr>
            <w:tcW w:type="dxa" w:w="3137"/>
          </w:tcPr>
          <w:p>
            <w:pPr>
              <w:spacing w:after="40"/>
            </w:pPr>
            <w:r>
              <w:rPr>
                <w:sz w:val="19"/>
              </w:rPr>
            </w:r>
            <w:r>
              <w:rPr>
                <w:sz w:val="19"/>
              </w:rPr>
              <w:t>12 mesi</w:t>
            </w:r>
          </w:p>
        </w:tc>
        <w:tc>
          <w:tcPr>
            <w:tcW w:type="dxa" w:w="3137"/>
          </w:tcPr>
          <w:p>
            <w:pPr>
              <w:spacing w:after="40"/>
            </w:pPr>
            <w:r>
              <w:rPr>
                <w:sz w:val="19"/>
              </w:rPr>
            </w:r>
            <w:r>
              <w:rPr>
                <w:sz w:val="19"/>
              </w:rPr>
              <w:t>Crescita lenta; sorveglianza più distanziata</w:t>
            </w:r>
          </w:p>
        </w:tc>
      </w:tr>
      <w:tr>
        <w:tc>
          <w:tcPr>
            <w:tcW w:type="dxa" w:w="3137"/>
          </w:tcPr>
          <w:p>
            <w:pPr>
              <w:spacing w:after="40"/>
            </w:pPr>
            <w:r>
              <w:rPr>
                <w:sz w:val="19"/>
              </w:rPr>
            </w:r>
            <w:r>
              <w:rPr>
                <w:sz w:val="19"/>
              </w:rPr>
              <w:t>Tumori neuroendocrini G3 e carcinomi neuroendocrini</w:t>
            </w:r>
          </w:p>
        </w:tc>
        <w:tc>
          <w:tcPr>
            <w:tcW w:type="dxa" w:w="3137"/>
          </w:tcPr>
          <w:p>
            <w:pPr>
              <w:spacing w:after="40"/>
            </w:pPr>
            <w:r>
              <w:rPr>
                <w:sz w:val="19"/>
              </w:rPr>
            </w:r>
            <w:r>
              <w:rPr>
                <w:sz w:val="19"/>
              </w:rPr>
              <w:t>3 mesi</w:t>
            </w:r>
          </w:p>
        </w:tc>
        <w:tc>
          <w:tcPr>
            <w:tcW w:type="dxa" w:w="3137"/>
          </w:tcPr>
          <w:p>
            <w:pPr>
              <w:spacing w:after="40"/>
            </w:pPr>
            <w:r>
              <w:rPr>
                <w:sz w:val="19"/>
              </w:rPr>
            </w:r>
            <w:r>
              <w:rPr>
                <w:sz w:val="19"/>
              </w:rPr>
              <w:t>Comportamento biologico aggressivo</w:t>
            </w:r>
          </w:p>
        </w:tc>
      </w:tr>
      <w:tr>
        <w:tc>
          <w:tcPr>
            <w:tcW w:type="dxa" w:w="3137"/>
          </w:tcPr>
          <w:p>
            <w:pPr>
              <w:spacing w:after="40"/>
            </w:pPr>
            <w:r>
              <w:rPr>
                <w:sz w:val="19"/>
              </w:rPr>
            </w:r>
            <w:r>
              <w:rPr>
                <w:sz w:val="19"/>
              </w:rPr>
              <w:t>Altre neoplasie solide</w:t>
            </w:r>
          </w:p>
        </w:tc>
        <w:tc>
          <w:tcPr>
            <w:tcW w:type="dxa" w:w="3137"/>
          </w:tcPr>
          <w:p>
            <w:pPr>
              <w:spacing w:after="40"/>
            </w:pPr>
            <w:r>
              <w:rPr>
                <w:sz w:val="19"/>
              </w:rPr>
            </w:r>
            <w:r>
              <w:rPr>
                <w:sz w:val="19"/>
              </w:rPr>
              <w:t>6 mesi</w:t>
            </w:r>
          </w:p>
        </w:tc>
        <w:tc>
          <w:tcPr>
            <w:tcW w:type="dxa" w:w="3137"/>
          </w:tcPr>
          <w:p>
            <w:pPr>
              <w:spacing w:after="40"/>
            </w:pPr>
            <w:r>
              <w:rPr>
                <w:sz w:val="19"/>
              </w:rPr>
            </w:r>
            <w:r>
              <w:rPr>
                <w:sz w:val="19"/>
              </w:rPr>
              <w:t>Scelta conservativa</w:t>
            </w:r>
          </w:p>
        </w:tc>
      </w:tr>
    </w:tbl>
    <w:p>
      <w:pPr>
        <w:spacing w:after="40"/>
      </w:pPr>
    </w:p>
    <w:p>
      <w:pPr>
        <w:pStyle w:val="Heading2"/>
      </w:pPr>
      <w:r>
        <w:t>4.5 Analisi di qualità/interpretabilità per il sottogruppo pancreatico-biliare (nuovo)</w:t>
      </w:r>
    </w:p>
    <w:p>
      <w:r>
        <w:t xml:space="preserve">Per i pazienti arruolati nella coorte esplorativa non-CRC con tumore primitivo pancreatico o delle vie biliari (soglia minima di 20 pazienti già prevista in sezione 2.3), sarà registrato sistematicamente lo stato chirurgico pregresso (in particolare, pregressa duodenocefalopancreasectomia o altra chirurgia epato-bilio-pancreatica maggiore) come covariata, e sarà riportata separatamente, per questo sottogruppo, la distribuzione della qualità dell'esame (adeguata/subottimale/non interpretabile, sezione 6.3) rispetto al resto della coorte esplorativa non-CRC. </w:t>
      </w:r>
      <w:r>
        <w:rPr>
          <w:i/>
        </w:rPr>
        <w:t>Motivazione: sia la letteratura [10,11,12] sia la plausibilità anatomica (alterazioni post-chirurgiche, finestra acustica sfavorevole, organo profondo) suggeriscono che la performance della CEUS in questo sottogruppo possa essere strutturalmente diversa da quella osservabile in altri tumori primitivi; l'analisi separata previene un'interpretazione impropria di eventuali risultati favorevoli nella coorte non-CRC complessiva, che potrebbero essere trainati da tumori con anatomia epatica più favorevole.</w:t>
      </w:r>
    </w:p>
    <w:p>
      <w:pPr>
        <w:pStyle w:val="Heading1"/>
      </w:pPr>
      <w:r>
        <w:t>5. Reference standard</w:t>
      </w:r>
    </w:p>
    <w:p>
      <w:r>
        <w:t>Il reference standard adottato è composito e gerarchico. Tomografia computerizzata e risonanza magnetica non sono metodologicamente equivalenti, in particolare per le lesioni di diametro inferiore al centimetro; per questa ragione il documento adotta il termine reference standard in luogo di gold standard. La modalità impiegata è determinata dalla pratica clinica del centro, senza alcuna interferenza da parte del protocollo di ricerca, ed è registrata come variabile di stratificazione in tutte le analisi.</w:t>
      </w:r>
    </w:p>
    <w:p>
      <w:pPr>
        <w:pStyle w:val="Heading2"/>
      </w:pPr>
      <w:r>
        <w:t>5.1 Gerarchia della verifica concomitante</w:t>
      </w:r>
    </w:p>
    <w:p>
      <w:pPr>
        <w:pStyle w:val="ListNumber"/>
      </w:pPr>
      <w:r>
        <w:t>Risonanza magnetica con mezzo di contrasto epatospecifico, preferenziale per la maggiore sensibilità nelle lesioni di piccole dimensioni.</w:t>
      </w:r>
    </w:p>
    <w:p>
      <w:pPr>
        <w:pStyle w:val="ListNumber"/>
      </w:pPr>
      <w:r>
        <w:t>Risonanza magnetica con mezzo di contrasto extracellulare, qualora la precedente non sia indicata o disponibile.</w:t>
      </w:r>
    </w:p>
    <w:p>
      <w:pPr>
        <w:pStyle w:val="ListNumber"/>
      </w:pPr>
      <w:r>
        <w:t>Tomografia computerizzata multifase, comprendente almeno fase arteriosa epatica e fase portale, qualora la risonanza non sia eseguita o sia controindicata.</w:t>
      </w:r>
    </w:p>
    <w:p>
      <w:r>
        <w:t>L’imaging di verifica concomitante deve essere disponibile entro otto settimane dall’esame indice.</w:t>
      </w:r>
    </w:p>
    <w:p>
      <w:pPr>
        <w:pStyle w:val="Heading2"/>
      </w:pPr>
      <w:r>
        <w:t>5.2 Verifica differita</w:t>
      </w:r>
    </w:p>
    <w:p>
      <w:r>
        <w:t>Tutti i pazienti arruolati, indipendentemente dall’esito della CEUS e dall’esito della verifica concomitante, sono sottoposti a verifica differita coincidente con il primo esame di imaging di sorveglianza programmato a tre-sei mesi secondo il percorso clinico ordinario.</w:t>
      </w:r>
    </w:p>
    <w:p>
      <w:r>
        <w:t>La verifica differita non comporta alcun esame aggiuntivo rispetto al follow-up già previsto per il paziente. La sua estensione a tutti i partecipanti, e non ai soli casi discordanti, è una scelta metodologica necessaria: se l’accesso alla verifica dipendesse dall’esito del test in studio, la verifica risulterebbe differenziale e l’errore di classificazione agirebbe in una sola direzione, impedendo strutturalmente l’emersione dei falsi negativi della CEUS e producendo una sovrastima della sua performance.</w:t>
      </w:r>
    </w:p>
    <w:p>
      <w:r>
        <w:t>I pazienti per i quali la verifica differita non risulti disponibile entro nove mesi dall’esame indice sono esclusi dall’analisi primaria, censiti nel diagramma di flusso e inclusi nell’analisi di sensitività.</w:t>
      </w:r>
    </w:p>
    <w:p>
      <w:pPr>
        <w:pStyle w:val="Heading2"/>
      </w:pPr>
      <w:r>
        <w:t>5.3 Algoritmo prespecificato per la classificazione dei casi</w:t>
      </w:r>
    </w:p>
    <w:p>
      <w:r>
        <w:rPr>
          <w:b/>
        </w:rPr>
        <w:t>Tabella 2 — Gestione prespecificata dei casi</w:t>
      </w:r>
    </w:p>
    <w:tbl>
      <w:tblPr>
        <w:tblStyle w:val="LightGrid-Accent1"/>
        <w:tblW w:type="auto" w:w="0"/>
        <w:jc w:val="center"/>
        <w:tblLook w:firstColumn="1" w:firstRow="1" w:lastColumn="0" w:lastRow="0" w:noHBand="0" w:noVBand="1" w:val="04A0"/>
      </w:tblPr>
      <w:tblGrid>
        <w:gridCol w:w="3137"/>
        <w:gridCol w:w="3137"/>
        <w:gridCol w:w="3137"/>
      </w:tblGrid>
      <w:tr>
        <w:tc>
          <w:tcPr>
            <w:tcW w:type="dxa" w:w="3137"/>
          </w:tcPr>
          <w:p>
            <w:pPr>
              <w:spacing w:after="40"/>
            </w:pPr>
            <w:r>
              <w:rPr>
                <w:b/>
                <w:sz w:val="19"/>
              </w:rPr>
            </w:r>
            <w:r>
              <w:rPr>
                <w:b/>
                <w:sz w:val="19"/>
              </w:rPr>
              <w:t>Esito CEUS</w:t>
            </w:r>
          </w:p>
        </w:tc>
        <w:tc>
          <w:tcPr>
            <w:tcW w:type="dxa" w:w="3137"/>
          </w:tcPr>
          <w:p>
            <w:pPr>
              <w:spacing w:after="40"/>
            </w:pPr>
            <w:r>
              <w:rPr>
                <w:b/>
                <w:sz w:val="19"/>
              </w:rPr>
            </w:r>
            <w:r>
              <w:rPr>
                <w:b/>
                <w:sz w:val="19"/>
              </w:rPr>
              <w:t>Verifica concomitante</w:t>
            </w:r>
          </w:p>
        </w:tc>
        <w:tc>
          <w:tcPr>
            <w:tcW w:type="dxa" w:w="3137"/>
          </w:tcPr>
          <w:p>
            <w:pPr>
              <w:spacing w:after="40"/>
            </w:pPr>
            <w:r>
              <w:rPr>
                <w:b/>
                <w:sz w:val="19"/>
              </w:rPr>
            </w:r>
            <w:r>
              <w:rPr>
                <w:b/>
                <w:sz w:val="19"/>
              </w:rPr>
              <w:t>Gestione</w:t>
            </w:r>
          </w:p>
        </w:tc>
      </w:tr>
      <w:tr>
        <w:tc>
          <w:tcPr>
            <w:tcW w:type="dxa" w:w="3137"/>
          </w:tcPr>
          <w:p>
            <w:pPr>
              <w:spacing w:after="40"/>
            </w:pPr>
            <w:r>
              <w:rPr>
                <w:sz w:val="19"/>
              </w:rPr>
            </w:r>
            <w:r>
              <w:rPr>
                <w:sz w:val="19"/>
              </w:rPr>
              <w:t>Positiva</w:t>
            </w:r>
          </w:p>
        </w:tc>
        <w:tc>
          <w:tcPr>
            <w:tcW w:type="dxa" w:w="3137"/>
          </w:tcPr>
          <w:p>
            <w:pPr>
              <w:spacing w:after="40"/>
            </w:pPr>
            <w:r>
              <w:rPr>
                <w:sz w:val="19"/>
              </w:rPr>
            </w:r>
            <w:r>
              <w:rPr>
                <w:sz w:val="19"/>
              </w:rPr>
              <w:t>Negativa</w:t>
            </w:r>
          </w:p>
        </w:tc>
        <w:tc>
          <w:tcPr>
            <w:tcW w:type="dxa" w:w="3137"/>
          </w:tcPr>
          <w:p>
            <w:pPr>
              <w:spacing w:after="40"/>
            </w:pPr>
            <w:r>
              <w:rPr>
                <w:sz w:val="19"/>
              </w:rPr>
            </w:r>
            <w:r>
              <w:rPr>
                <w:sz w:val="19"/>
              </w:rPr>
              <w:t>Verifica differita a 3–6 mesi. Se positiva, il caso è classificato come vero positivo del reference standard composito e conteggiato come anticipo diagnostico. Se negativa, il caso è classificato come falso positivo</w:t>
            </w:r>
          </w:p>
        </w:tc>
      </w:tr>
      <w:tr>
        <w:tc>
          <w:tcPr>
            <w:tcW w:type="dxa" w:w="3137"/>
          </w:tcPr>
          <w:p>
            <w:pPr>
              <w:spacing w:after="40"/>
            </w:pPr>
            <w:r>
              <w:rPr>
                <w:sz w:val="19"/>
              </w:rPr>
            </w:r>
            <w:r>
              <w:rPr>
                <w:sz w:val="19"/>
              </w:rPr>
              <w:t>Negativa</w:t>
            </w:r>
          </w:p>
        </w:tc>
        <w:tc>
          <w:tcPr>
            <w:tcW w:type="dxa" w:w="3137"/>
          </w:tcPr>
          <w:p>
            <w:pPr>
              <w:spacing w:after="40"/>
            </w:pPr>
            <w:r>
              <w:rPr>
                <w:sz w:val="19"/>
              </w:rPr>
            </w:r>
            <w:r>
              <w:rPr>
                <w:sz w:val="19"/>
              </w:rPr>
              <w:t>Positiva</w:t>
            </w:r>
          </w:p>
        </w:tc>
        <w:tc>
          <w:tcPr>
            <w:tcW w:type="dxa" w:w="3137"/>
          </w:tcPr>
          <w:p>
            <w:pPr>
              <w:spacing w:after="40"/>
            </w:pPr>
            <w:r>
              <w:rPr>
                <w:sz w:val="19"/>
              </w:rPr>
            </w:r>
            <w:r>
              <w:rPr>
                <w:sz w:val="19"/>
              </w:rPr>
              <w:t>Rilettura in cieco indipendente dei filmati. Se il falso negativo è confermato, si registrano dimensione, sede, profondità della lesione e qualità dell’esame</w:t>
            </w:r>
          </w:p>
        </w:tc>
      </w:tr>
      <w:tr>
        <w:tc>
          <w:tcPr>
            <w:tcW w:type="dxa" w:w="3137"/>
          </w:tcPr>
          <w:p>
            <w:pPr>
              <w:spacing w:after="40"/>
            </w:pPr>
            <w:r>
              <w:rPr>
                <w:sz w:val="19"/>
              </w:rPr>
            </w:r>
            <w:r>
              <w:rPr>
                <w:sz w:val="19"/>
              </w:rPr>
              <w:t>Negativa</w:t>
            </w:r>
          </w:p>
        </w:tc>
        <w:tc>
          <w:tcPr>
            <w:tcW w:type="dxa" w:w="3137"/>
          </w:tcPr>
          <w:p>
            <w:pPr>
              <w:spacing w:after="40"/>
            </w:pPr>
            <w:r>
              <w:rPr>
                <w:sz w:val="19"/>
              </w:rPr>
            </w:r>
            <w:r>
              <w:rPr>
                <w:sz w:val="19"/>
              </w:rPr>
              <w:t>Negativa</w:t>
            </w:r>
          </w:p>
        </w:tc>
        <w:tc>
          <w:tcPr>
            <w:tcW w:type="dxa" w:w="3137"/>
          </w:tcPr>
          <w:p>
            <w:pPr>
              <w:spacing w:after="40"/>
            </w:pPr>
            <w:r>
              <w:rPr>
                <w:sz w:val="19"/>
              </w:rPr>
            </w:r>
            <w:r>
              <w:rPr>
                <w:sz w:val="19"/>
              </w:rPr>
              <w:t>Verifica differita a 3–6 mesi. Se positiva per lesione retrospettivamente riconoscibile all’esame indice, il caso è classificato come falso negativo; se positiva per lesione di nuova comparsa, il caso è classificato come vero negativo all’esame indice. La distinzione è operata dal panel di lettura centralizzata in cieco</w:t>
            </w:r>
          </w:p>
        </w:tc>
      </w:tr>
      <w:tr>
        <w:tc>
          <w:tcPr>
            <w:tcW w:type="dxa" w:w="3137"/>
          </w:tcPr>
          <w:p>
            <w:pPr>
              <w:spacing w:after="40"/>
            </w:pPr>
            <w:r>
              <w:rPr>
                <w:sz w:val="19"/>
              </w:rPr>
            </w:r>
            <w:r>
              <w:rPr>
                <w:sz w:val="19"/>
              </w:rPr>
              <w:t>Indeterminata</w:t>
            </w:r>
          </w:p>
        </w:tc>
        <w:tc>
          <w:tcPr>
            <w:tcW w:type="dxa" w:w="3137"/>
          </w:tcPr>
          <w:p>
            <w:pPr>
              <w:spacing w:after="40"/>
            </w:pPr>
            <w:r>
              <w:rPr>
                <w:sz w:val="19"/>
              </w:rPr>
            </w:r>
            <w:r>
              <w:rPr>
                <w:sz w:val="19"/>
              </w:rPr>
              <w:t>Qualsiasi</w:t>
            </w:r>
          </w:p>
        </w:tc>
        <w:tc>
          <w:tcPr>
            <w:tcW w:type="dxa" w:w="3137"/>
          </w:tcPr>
          <w:p>
            <w:pPr>
              <w:spacing w:after="40"/>
            </w:pPr>
            <w:r>
              <w:rPr>
                <w:sz w:val="19"/>
              </w:rPr>
            </w:r>
            <w:r>
              <w:rPr>
                <w:sz w:val="19"/>
              </w:rPr>
              <w:t>Verifica differita a 3–6 mesi o accertamento istologico se clinicamente indicato. I casi irrisolti sono censiti, esclusi dall’analisi primaria e inclusi nell’analisi di sensitività</w:t>
            </w:r>
          </w:p>
        </w:tc>
      </w:tr>
    </w:tbl>
    <w:p>
      <w:pPr>
        <w:spacing w:after="40"/>
      </w:pPr>
    </w:p>
    <w:p>
      <w:pPr>
        <w:pStyle w:val="Heading1"/>
      </w:pPr>
      <w:r>
        <w:t>6. Procedure dello studio</w:t>
      </w:r>
    </w:p>
    <w:p>
      <w:pPr>
        <w:pStyle w:val="Heading2"/>
      </w:pPr>
      <w:r>
        <w:t>6.1 Natura delle procedure</w:t>
      </w:r>
    </w:p>
    <w:p>
      <w:r>
        <w:t>Tutte le procedure previste dal protocollo fanno parte del percorso clinico ordinario dei pazienti arruolati. La CEUS è eseguita per indicazione clinica secondo la pratica corrente del centro; il mezzo di contrasto ecografico non è somministrato per finalità di ricerca. Il protocollo non prevede prelievi, somministrazioni, esami strumentali o visite aggiuntive.</w:t>
      </w:r>
    </w:p>
    <w:p>
      <w:pPr>
        <w:pStyle w:val="Heading2"/>
      </w:pPr>
      <w:r>
        <w:t>6.2 Apparecchiatura e mezzo di contrasto</w:t>
      </w:r>
    </w:p>
    <w:p>
      <w:r>
        <w:t>Ecografo di fascia alta dotato di software dedicato per imaging a basso indice meccanico, con IM inferiore a 0,2. Mezzo di contrasto a base di esafluoruro di zolfo, 2,4 mL in bolo endovenoso rapido seguito da flush di 10 mL di soluzione fisiologica. È consentita una seconda somministrazione qualora clinicamente indicata, secondo la pratica corrente.</w:t>
      </w:r>
    </w:p>
    <w:p>
      <w:pPr>
        <w:pStyle w:val="Heading2"/>
      </w:pPr>
      <w:r>
        <w:t>6.3 Protocollo di acquisizione</w:t>
      </w:r>
    </w:p>
    <w:p>
      <w:pPr>
        <w:pStyle w:val="ListNumber"/>
      </w:pPr>
      <w:r>
        <w:t>Scansione B-mode dell’intero fegato con registrazione di numero, sede, dimensione ed ecogenicità delle eventuali lesioni.</w:t>
      </w:r>
    </w:p>
    <w:p>
      <w:pPr>
        <w:pStyle w:val="ListNumber"/>
      </w:pPr>
      <w:r>
        <w:t>Somministrazione del mezzo di contrasto e acquisizione continua in fase arteriosa, tra 10 e 35 secondi; acquisizione intermittente ogni 30-60 secondi in fase portale, tra 35 e 120 secondi, e in fase tardiva, tra 120 e 300 secondi.</w:t>
      </w:r>
    </w:p>
    <w:p>
      <w:pPr>
        <w:pStyle w:val="ListNumber"/>
      </w:pPr>
      <w:r>
        <w:t>Scansione dell’intero fegato in fase tardiva, tra 120 e 300 secondi, a respiro sospeso. Tale scansione è obbligatoria in tutti i casi.</w:t>
      </w:r>
    </w:p>
    <w:p>
      <w:pPr>
        <w:pStyle w:val="ListNumber"/>
      </w:pPr>
      <w:r>
        <w:t>Archiviazione completa dei filmati dell’acquisizione.</w:t>
      </w:r>
    </w:p>
    <w:p>
      <w:pPr>
        <w:pStyle w:val="ListNumber"/>
      </w:pPr>
      <w:r>
        <w:t>Registrazione dell’operatore, del modello di ecografo e del preset impiegato.</w:t>
      </w:r>
    </w:p>
    <w:p>
      <w:pPr>
        <w:pStyle w:val="ListNumber"/>
      </w:pPr>
      <w:r>
        <w:t>Classificazione della qualità dell’esame secondo scala prespecificata in adeguata, subottimale o non interpretabile, con indicazione della motivazione.</w:t>
      </w:r>
    </w:p>
    <w:p>
      <w:pPr>
        <w:pStyle w:val="Heading2"/>
      </w:pPr>
      <w:r>
        <w:t>6.4 Criteri diagnostici</w:t>
      </w:r>
    </w:p>
    <w:p>
      <w:r>
        <w:t>Si considera diagnostico per metastasi epatica il riscontro di almeno uno dei seguenti reperti, secondo le raccomandazioni WFUMB-EFSUMB 2020: rim-arterial phase hyperenhancement; washout precoce con esordio entro 60 secondi; washout marcato con aspetto anecogeno entro due minuti.</w:t>
      </w:r>
    </w:p>
    <w:p>
      <w:pPr>
        <w:pStyle w:val="Heading2"/>
      </w:pPr>
      <w:r>
        <w:t>6.5 Cecità della valutazione</w:t>
      </w:r>
    </w:p>
    <w:p>
      <w:r>
        <w:t>Il referto CEUS è redatto e registrato prima della disponibilità della verifica concomitante. L’operatore che esegue la CEUS opera nel contesto clinico ordinario e dispone pertanto delle informazioni cliniche del paziente; tale condizione è documentata e discussa nella reportistica dello studio.</w:t>
      </w:r>
    </w:p>
    <w:p>
      <w:pPr>
        <w:pStyle w:val="Heading2"/>
      </w:pPr>
      <w:r>
        <w:t>6.6 Standardizzazione tra centri</w:t>
      </w:r>
    </w:p>
    <w:p>
      <w:r>
        <w:t>Prima dell’avvio dell’arruolamento presso ciascun centro è prevista una sessione di formazione comune su casi campione con verifica della concordanza. Preset e dosaggio sono uniformi tra i centri; eventuali deroghe sono documentate. La refertazione avviene mediante modello strutturato condiviso, integrato con un set minimo di campi obbligatori per il riuso secondario dei dati (sezione 6.7). I filmati anonimizzati sono trasmessi al coordinamento centrale secondo le modalità descritte alla sezione 10.</w:t>
      </w:r>
    </w:p>
    <w:p>
      <w:pPr>
        <w:pStyle w:val="Heading2"/>
      </w:pPr>
      <w:r>
        <w:t>6.7 Annotazione strutturata minima e sotto-studio ancillare CEUS-DETECT-AI (nuovo)</w:t>
      </w:r>
    </w:p>
    <w:p>
      <w:pPr>
        <w:pStyle w:val="Heading3"/>
      </w:pPr>
      <w:r>
        <w:t>6.7.1 Annotazione strutturata minima per riuso secondario dei dati</w:t>
      </w:r>
    </w:p>
    <w:p>
      <w:r>
        <w:t>Il modello di refertazione strutturato condiviso (sezione 6.6) è integrato con un set minimo di campi obbligatori, a costo di implementazione marginale poiché il dato clinico esiste già nel referto: sede della lesione (segmento epatico secondo Couinaud), dimensione massima, sezione/scansione di acquisizione, diagnosi finale e modalità con cui è stata ottenuta (verifica concomitante, verifica differita, istologia), operatore, modello di ecografo e sonda impiegati. Questo requisito rende l'archivio riutilizzabile per analisi future indipendentemente dall'esecuzione del sotto-studio descritto di seguito.</w:t>
      </w:r>
    </w:p>
    <w:p>
      <w:pPr>
        <w:pStyle w:val="Heading3"/>
      </w:pPr>
      <w:r>
        <w:t>6.7.2 Sotto-studio ancillare CEUS-DETECT-AI</w:t>
      </w:r>
    </w:p>
    <w:p>
      <w:r>
        <w:rPr>
          <w:b/>
        </w:rPr>
        <w:t>Razionale.</w:t>
      </w:r>
      <w:r>
        <w:t xml:space="preserve"> Il protocollo già impone l'archiviazione completa dei filmati (sezione 6.3), la refertazione strutturata condivisa (sezione 6.6, integrata in 6.7.1) e la rilettura centralizzata in cieco su un campione casuale del 20% dei casi (sezione 9.4) — costituendo, di fatto, un dataset multicentrico annotato con verità di riferimento (reference standard composito) idoneo allo sviluppo di un modello di detection e localizzazione assistita da intelligenza artificiale, senza richiedere alcuna procedura aggiuntiva sui pazienti.</w:t>
      </w:r>
    </w:p>
    <w:p>
      <w:r>
        <w:rPr>
          <w:b/>
        </w:rPr>
        <w:t>Compito e dimensionamento.</w:t>
      </w:r>
      <w:r>
        <w:t xml:space="preserve"> Il sotto-studio si limita, per scelta esplicita, al compito di detection e localizzazione della lesione (non alla caratterizzazione diagnostica differenziale), coerentemente con gli ordini di grandezza di dati necessari per compiti di intelligenza artificiale in ecografia riportati in letteratura recente (circa 1.000 esami per un compito di detection/localizzazione con maschera annotata, contro l'ordine di 10.000 richiesto per un compito di diagnosi differenziale definitiva) [12,13]. La base dati prevista dallo studio principale (350 pazienti nello strato A della coorte primaria, più l'intera coorte all-comers retrospettiva dei 24 mesi precedenti, potenzialmente diverse migliaia di esami) è plausibilmente sufficiente per il compito di detection, non per la caratterizzazione diagnostica completa, che resta esplicitamente fuori scopo per questo sotto-studio.</w:t>
      </w:r>
    </w:p>
    <w:p>
      <w:r>
        <w:rPr>
          <w:b/>
        </w:rPr>
        <w:t>Regole metodologiche di validazione, non negoziabili.</w:t>
      </w:r>
      <w:r>
        <w:t xml:space="preserve"> (a) La suddivisione fra insieme di addestramento, validazione e test sarà effettuata per paziente, mai per singola clip o fotogramma, per evitare la sovrastima della performance dovuta a informazione condivisa fra clip dello stesso paziente in insiemi diversi. (b) La validazione esterna finale sarà condotta su un centro genuinamente escluso dall'addestramento del modello — non un semplice sottoinsieme accantonato degli stessi centri —, poiché è questa la cifra di performance rilevante per un'eventuale futura applicazione clinica.</w:t>
      </w:r>
    </w:p>
    <w:p>
      <w:r>
        <w:rPr>
          <w:b/>
        </w:rPr>
        <w:t>Governance.</w:t>
      </w:r>
      <w:r>
        <w:t xml:space="preserve"> Il percorso etico-autorizzativo per l'uso secondario dei filmati a fini di sviluppo algoritmico — approvazione del Comitato Etico, coinvolgimento del Responsabile della Protezione dei Dati, chiarimento della titolarità dei dati per l'uso secondario, modulo di consenso informato specifico (opt-in, distinto dal consenso alla componente diagnostica primaria) — sarà attivato dal mese 1 dello studio, in parallelo e non in serie rispetto all'avvio dell'arruolamento clinico (sezione 11.8): l'esperienza riportata in altri contesti di ricerca traslazionale indica che il collo di bottiglia per questo tipo di sotto-studio è tipicamente autorizzativo, con tempi dell'ordine dei mesi, e va aperto prima che il modello esista, non dopo.</w:t>
      </w:r>
    </w:p>
    <w:p>
      <w:r>
        <w:rPr>
          <w:b/>
        </w:rPr>
        <w:t>Reporting.</w:t>
      </w:r>
      <w:r>
        <w:t xml:space="preserve"> Il sotto-studio sarà riportato secondo STARD-AI [9], in aggiunta a STARD 2015 già adottato per lo studio principale (sezione 9.8).</w:t>
      </w:r>
    </w:p>
    <w:p>
      <w:r>
        <w:rPr>
          <w:b/>
        </w:rPr>
        <w:t>Collaborazione.</w:t>
      </w:r>
      <w:r>
        <w:t xml:space="preserve"> Si raccomanda l'istituzione di una collaborazione formale e dedicata con un gruppo di biostatistica/bioingegneria, per garantire competenze metodologiche adeguate senza gravare sul personale clinico del centro coordinatore.</w:t>
      </w:r>
    </w:p>
    <w:p>
      <w:r>
        <w:rPr>
          <w:b/>
        </w:rPr>
        <w:t>Natura esplorativa.</w:t>
      </w:r>
      <w:r>
        <w:t xml:space="preserve"> Il sotto-studio è esplicitamente secondario e non compete per risorse con l'obiettivo diagnostico primario dello studio; un eventuale ritardo o mancata attivazione del percorso autorizzativo non deve in alcun modo condizionare la conduzione dello studio principale.</w:t>
      </w:r>
    </w:p>
    <w:p>
      <w:pPr>
        <w:pStyle w:val="Heading1"/>
      </w:pPr>
      <w:r>
        <w:t>7. Definizione degli outcome</w:t>
      </w:r>
    </w:p>
    <w:p>
      <w:pPr>
        <w:pStyle w:val="Heading2"/>
      </w:pPr>
      <w:r>
        <w:t>7.1 Outcome primario</w:t>
      </w:r>
    </w:p>
    <w:p>
      <w:r>
        <w:t>Incremental detection rate, definito come il rapporto tra il numero di pazienti con metastasi epatiche incidenti identificate dalla CEUS e non identificate dall’imaging standard concomitante, confermate alla verifica differita, e il numero totale di pazienti arruolati nello strato A della coorte primaria.</w:t>
      </w:r>
    </w:p>
    <w:p>
      <w:pPr>
        <w:pStyle w:val="Heading2"/>
      </w:pPr>
      <w:r>
        <w:t>7.2 Outcome secondari</w:t>
      </w:r>
    </w:p>
    <w:p>
      <w:r>
        <w:t>Sensibilità, specificità, valori predittivi e likelihood ratio; resa incrementale rispetto al solo B-mode; anticipo diagnostico; impatto sul management clinico; performance per classe dimensionale; tasso di esami non interpretabili; number needed to screen.</w:t>
      </w:r>
    </w:p>
    <w:p>
      <w:pPr>
        <w:pStyle w:val="Heading2"/>
      </w:pPr>
      <w:r>
        <w:t>7.3 Anticipo diagnostico</w:t>
      </w:r>
    </w:p>
    <w:p>
      <w:r>
        <w:t>Un caso è classificato come anticipo diagnostico quando la CEUS risulta positiva, la verifica concomitante risulta negativa e la verifica differita conferma la presenza di metastasi. L’intervallo temporale tra esame indice e conferma è riportato in giorni con statistica descrittiva.</w:t>
      </w:r>
    </w:p>
    <w:p>
      <w:pPr>
        <w:pStyle w:val="Heading2"/>
      </w:pPr>
      <w:r>
        <w:t>7.4 Impatto sul management clinico</w:t>
      </w:r>
    </w:p>
    <w:p>
      <w:r>
        <w:t>Un caso è classificato come impatto maggiore sul management quando l’esito della CEUS determina almeno una delle seguenti modifiche rispetto al percorso pianificato prima dell’esame: avvio o modifica della terapia sistemica; rivalutazione della candidabilità a metastasectomia o ad ablazione epatica; modifica dell’intensità della sorveglianza; richiesta di accertamento bioptico epatico.</w:t>
      </w:r>
    </w:p>
    <w:p>
      <w:r>
        <w:t>La classificazione è effettuata da un oncologo che dispone del referto CEUS, come avviene nella pratica clinica, ma è cieco rispetto all’esito della verifica differita. La scelta è intenzionale e mira a misurare l’impatto reale dell’esame sul processo decisionale. La fattibilità del mantenimento della cecità è verificata e riportata nei risultati.</w:t>
      </w:r>
    </w:p>
    <w:p>
      <w:pPr>
        <w:pStyle w:val="Heading1"/>
      </w:pPr>
      <w:r>
        <w:t>8. Dimensione campionaria</w:t>
      </w:r>
    </w:p>
    <w:p>
      <w:pPr>
        <w:pStyle w:val="Heading2"/>
      </w:pPr>
      <w:r>
        <w:t>8.1 Parametro dimensionante</w:t>
      </w:r>
    </w:p>
    <w:p>
      <w:r>
        <w:t>Il parametro dimensionante primario è la precisione della stima dell’incremental detection rate. Parametro dimensionante secondario è il numero di eventi positivi necessario alla stima della sensibilità.</w:t>
      </w:r>
    </w:p>
    <w:p>
      <w:pPr>
        <w:pStyle w:val="Heading2"/>
      </w:pPr>
      <w:r>
        <w:t>8.2 Calcolo</w:t>
      </w:r>
    </w:p>
    <w:p>
      <w:r>
        <w:t>Assunzioni prespecificate:</w:t>
      </w:r>
    </w:p>
    <w:p>
      <w:pPr>
        <w:pStyle w:val="ListBullet"/>
      </w:pPr>
      <w:r>
        <w:t>Incremental detection rate atteso nello strato A della coorte primaria compreso tra il 5% e l’8%. La stima è prudenziale e tiene conto del fatto che il valore del 2,7% riportato in letteratura si riferisce alla stadiazione iniziale, contesto a prevalenza e spettro di malattia differenti.</w:t>
      </w:r>
    </w:p>
    <w:p>
      <w:pPr>
        <w:pStyle w:val="ListBullet"/>
      </w:pPr>
      <w:r>
        <w:t>Precisione target: intervallo di confidenza al 95% con semiampiezza di 2,5 punti percentuali.</w:t>
      </w:r>
    </w:p>
    <w:p>
      <w:r>
        <w:t>Ne deriva una numerosità di circa 350 pazienti nello strato A della coorte primaria.</w:t>
      </w:r>
    </w:p>
    <w:p>
      <w:r>
        <w:t>Con una prevalenza di metastasi epatiche incidenti compresa tra il 10% e il 15%, sono attesi tra 35 e 50 eventi positivi, numerosità sufficiente a stimare una sensibilità compresa tra l’88% e il 95% con semiampiezza dell’intervallo di confidenza pari a circa 10 punti percentuali.</w:t>
      </w:r>
    </w:p>
    <w:p>
      <w:pPr>
        <w:pStyle w:val="Heading2"/>
      </w:pPr>
      <w:r>
        <w:t>8.3 Fattibilità</w:t>
      </w:r>
    </w:p>
    <w:p>
      <w:r>
        <w:t>Il centro coordinatore può contribuire tra 60 e 100 pazienti eleggibili in dodici mesi. La numerosità richiesta comporta pertanto la partecipazione di quattro-sei centri con casistica comparabile. Il calcolo è formalmente aggiornato al termine della fase retrospettiva, prima dell’attivazione dei centri satellite.</w:t>
      </w:r>
    </w:p>
    <w:p>
      <w:pPr>
        <w:pStyle w:val="Heading2"/>
      </w:pPr>
      <w:r>
        <w:t>8.4 Blinded sample size re-estimation dopo la fase prospettica iniziale (nuovo)</w:t>
      </w:r>
    </w:p>
    <w:p>
      <w:r>
        <w:t xml:space="preserve">Oltre all'aggiornamento formale della numerosità già previsto al termine della fase retrospettiva (sezione 3.1), sarà condotta una seconda rivalutazione, in cieco rispetto al confronto CEUS/reference standard, dopo l'arruolamento dei primi 80–100 pazienti della fase prospettica multicentrica, limitata alla sola rivalutazione del tasso di eventi complessivo osservato (non della performance diagnostica). </w:t>
      </w:r>
      <w:r>
        <w:rPr>
          <w:i/>
        </w:rPr>
        <w:t>Motivazione</w:t>
      </w:r>
      <w:r>
        <w:t>: il tasso atteso del 5–8% (sezione 8.2) è un'estrapolazione dal 2,7% osservato da Sawatzki et al. in un contesto di stadiazione iniziale [2], non di sorveglianza longitudinale con imaging di riferimento già documentato negativo — un contesto a prevalenza attesa verosimilmente diversa (probabilmente inferiore, poiché la popolazione è già stata "scremata" da un esame precedente negativo), mai misurato sistematicamente prima. Un singolo checkpoint alla fine della fase retrospettiva rischia di non catturare eventuali scostamenti significativi che emergano solo con l'esperienza reale multicentrica della fase prospettica; un secondo checkpoint precoce permette di correggere la rotta (ampliamento dei centri, prolungamento dell'arruolamento) senza attendere la fine di uno studio di 19 mesi.</w:t>
      </w:r>
    </w:p>
    <w:p>
      <w:pPr>
        <w:pStyle w:val="Heading1"/>
      </w:pPr>
      <w:r>
        <w:t>9. Analisi statistica</w:t>
      </w:r>
    </w:p>
    <w:p>
      <w:pPr>
        <w:pStyle w:val="Heading2"/>
      </w:pPr>
      <w:r>
        <w:t>9.1 Analisi primaria</w:t>
      </w:r>
    </w:p>
    <w:p>
      <w:r>
        <w:t>Stima dell’incremental detection rate con intervallo di confidenza al 95% calcolato secondo il metodo di Wilson, nello strato A della coorte primaria.</w:t>
      </w:r>
    </w:p>
    <w:p>
      <w:pPr>
        <w:pStyle w:val="Heading2"/>
      </w:pPr>
      <w:r>
        <w:t>9.2 Analisi secondarie</w:t>
      </w:r>
    </w:p>
    <w:p>
      <w:r>
        <w:t>Sensibilità, specificità, valori predittivi e likelihood ratio con intervalli di confidenza secondo Wilson. Confronto tra CEUS ed ecografia B-mode mediante test di McNemar per dati appaiati. Analisi per lesione con correzione per clustering intrapaziente mediante generalized estimating equations o modello misto logistico con effetto casuale per paziente; l’analisi per paziente rimane l’analisi di riferimento.</w:t>
      </w:r>
    </w:p>
    <w:p>
      <w:pPr>
        <w:pStyle w:val="Heading2"/>
      </w:pPr>
      <w:r>
        <w:t>9.3 Analisi per sottogruppo</w:t>
      </w:r>
    </w:p>
    <w:p>
      <w:r>
        <w:t>Strato A rispetto a strato B; coorte CRC rispetto a coorte non-CRC; modalità del reference standard; classe dimensionale della lesione; trattamento oncologico in corso. Tali analisi sono dichiarate ipotesi-generanti; non è applicata correzione per confronti multipli e tale scelta è esplicitata nella reportistica.</w:t>
      </w:r>
    </w:p>
    <w:p>
      <w:pPr>
        <w:pStyle w:val="Heading2"/>
      </w:pPr>
      <w:r>
        <w:t>9.4 Variabilità inter-operatore</w:t>
      </w:r>
    </w:p>
    <w:p>
      <w:r>
        <w:t>Rilettura in cieco dei filmati su un campione casuale pari al 20% di tutti i casi arruolati, da parte di due lettori indipendenti del panel centrale, con concordanza espressa mediante coefficiente kappa di Cohen. Il campionamento casuale, in luogo della rilettura dei soli casi discordanti, è necessario affinché la stima di concordanza risulti interpretabile.</w:t>
      </w:r>
    </w:p>
    <w:p>
      <w:pPr>
        <w:pStyle w:val="Heading2"/>
      </w:pPr>
      <w:r>
        <w:t>9.5 Analisi intention-to-diagnose</w:t>
      </w:r>
    </w:p>
    <w:p>
      <w:r>
        <w:t>Analisi nella quale gli esami non interpretabili sono conteggiati come negativi, riportata accanto all’analisi per protocollo che li esclude. La differenza tra le due stime è presentata come misura dell’impatto della non interpretabilità sulla performance della metodica nelle condizioni reali di impiego.</w:t>
      </w:r>
    </w:p>
    <w:p>
      <w:pPr>
        <w:pStyle w:val="Heading2"/>
      </w:pPr>
      <w:r>
        <w:t>9.6 Analisi del verification bias</w:t>
      </w:r>
    </w:p>
    <w:p>
      <w:r>
        <w:t>Confronto tra coorte all-comers e coorte analitica mediante test chi-quadro per le variabili categoriche e test di Mann-Whitney per le variabili continue, con stima quantitativa secondo il metodo di Begg e Greenes [7]. L’analisi è riferita principalmente alla fase retrospettiva.</w:t>
      </w:r>
    </w:p>
    <w:p>
      <w:pPr>
        <w:pStyle w:val="Heading2"/>
      </w:pPr>
      <w:r>
        <w:t>9.7 Analisi di sensitività prespecificate</w:t>
      </w:r>
    </w:p>
    <w:p>
      <w:pPr>
        <w:pStyle w:val="ListNumber"/>
      </w:pPr>
      <w:r>
        <w:t>Esclusione dei casi risolti unicamente attraverso la verifica differita.</w:t>
      </w:r>
    </w:p>
    <w:p>
      <w:pPr>
        <w:pStyle w:val="ListNumber"/>
      </w:pPr>
      <w:r>
        <w:t>Analisi limitata ai casi con risonanza magnetica come verifica concomitante.</w:t>
      </w:r>
    </w:p>
    <w:p>
      <w:pPr>
        <w:pStyle w:val="ListNumber"/>
      </w:pPr>
      <w:r>
        <w:t>Esclusione dei pazienti in trattamento oncologico attivo.</w:t>
      </w:r>
    </w:p>
    <w:p>
      <w:pPr>
        <w:pStyle w:val="ListNumber"/>
      </w:pPr>
      <w:r>
        <w:t>Inclusione dei casi privi di verifica differita trattati come non informativi.</w:t>
      </w:r>
    </w:p>
    <w:p>
      <w:pPr>
        <w:pStyle w:val="Heading2"/>
      </w:pPr>
      <w:r>
        <w:t>9.8 Reporting e software</w:t>
      </w:r>
    </w:p>
    <w:p>
      <w:r>
        <w:t>Lo studio è progettato e sarà riportato secondo le raccomandazioni STARD 2015 [8], con diagramma di flusso comprensivo delle esclusioni, degli esami non interpretabili e delle verifiche mancanti. Le analisi sono condotte con R versione 4.3 o successiva, pacchetti pROC, epiR e geepack. La soglia di significatività è fissata a p inferiore a 0,05.</w:t>
      </w:r>
    </w:p>
    <w:p>
      <w:pPr>
        <w:pStyle w:val="Heading2"/>
      </w:pPr>
      <w:r>
        <w:t>9.9 Analisi di sensitività aggiuntiva per la molteplicità dei confronti per sottogruppo (nuovo)</w:t>
      </w:r>
    </w:p>
    <w:p>
      <w:r>
        <w:t>In aggiunta alle analisi per sottogruppo non corrette (sezione 9.3, scelta motivata e mantenuta), sarà riportata come supplemento un'analisi di sensitività con correzione per false discovery rate (metodo di Benjamini-Hochberg) sui cinque assi di sottogruppo prespecificati (strato A/B, CRC/non-CRC, modalità del reference standard, classe dimensionale, trattamento oncologico in corso), non per modificare la conclusione primaria ma per anticipare l'obiezione, comune in sede di revisione paritaria, sulla molteplicità dei confronti esplorativi.</w:t>
      </w:r>
    </w:p>
    <w:p>
      <w:pPr>
        <w:pStyle w:val="Heading1"/>
      </w:pPr>
      <w:r>
        <w:t>10. Gestione dei dati e tutela della riservatezza</w:t>
      </w:r>
    </w:p>
    <w:p>
      <w:pPr>
        <w:pStyle w:val="Heading2"/>
      </w:pPr>
      <w:r>
        <w:t>10.1 Raccolta e pseudonimizzazione</w:t>
      </w:r>
    </w:p>
    <w:p>
      <w:r>
        <w:t>I dati sono raccolti in una scheda raccolta dati elettronica strutturata. A ciascun partecipante è attribuito un codice identificativo progressivo. La chiave di corrispondenza tra codice e identità del paziente è custodita presso il centro arruolante, con accesso limitato al personale autorizzato, e non è trasmessa al coordinamento centrale.</w:t>
      </w:r>
    </w:p>
    <w:p>
      <w:pPr>
        <w:pStyle w:val="Heading2"/>
      </w:pPr>
      <w:r>
        <w:t>10.2 Trasmissione dei filmati</w:t>
      </w:r>
    </w:p>
    <w:p>
      <w:r>
        <w:t>I filmati destinati alla lettura centralizzata sono trasmessi previa rimozione dei metadati identificativi, attraverso canale protetto, e sono conservati in repository ad accesso ristretto. Nessun dato identificativo diretto lascia il centro arruolante.</w:t>
      </w:r>
    </w:p>
    <w:p>
      <w:pPr>
        <w:pStyle w:val="Heading2"/>
      </w:pPr>
      <w:r>
        <w:t>10.3 Base giuridica e titolarità</w:t>
      </w:r>
    </w:p>
    <w:p>
      <w:r>
        <w:t>Il trattamento dei dati personali avviene nel rispetto del Regolamento UE 2016/679 e della normativa nazionale vigente. Titolare del trattamento è l’istituzione promotrice; i centri partecipanti operano secondo gli accordi definiti in sede di attivazione. I partecipanti sono informati dei diritti previsti dagli articoli 15-22 del Regolamento e delle modalità per esercitarli.</w:t>
      </w:r>
    </w:p>
    <w:p>
      <w:pPr>
        <w:pStyle w:val="Heading2"/>
      </w:pPr>
      <w:r>
        <w:t>10.4 Conservazione</w:t>
      </w:r>
    </w:p>
    <w:p>
      <w:r>
        <w:t>I dati sono conservati in forma pseudonimizzata per il periodo necessario alle finalità dello studio e alla verifica dei risultati pubblicati, secondo le indicazioni del Comitato Etico e le procedure dell’istituzione promotrice. Al termine del periodo di conservazione la chiave di corrispondenza è distrutta.</w:t>
      </w:r>
    </w:p>
    <w:p>
      <w:pPr>
        <w:pStyle w:val="Heading2"/>
      </w:pPr>
      <w:r>
        <w:t>10.5 Controllo di qualità</w:t>
      </w:r>
    </w:p>
    <w:p>
      <w:r>
        <w:t>Il coordinamento centrale effettua controlli periodici di completezza e coerenza dei campi obbligatori, con richiesta di chiarimento ai centri in caso di dati mancanti o incongruenti. Non è previsto monitoraggio in loco, trattandosi di studio osservazionale senza procedure aggiuntive.</w:t>
      </w:r>
    </w:p>
    <w:p>
      <w:pPr>
        <w:pStyle w:val="Heading1"/>
      </w:pPr>
      <w:r>
        <w:t>11. Aspetti etici</w:t>
      </w:r>
    </w:p>
    <w:p>
      <w:pPr>
        <w:pStyle w:val="Heading2"/>
      </w:pPr>
      <w:r>
        <w:t>11.1 Conformità normativa</w:t>
      </w:r>
    </w:p>
    <w:p>
      <w:r>
        <w:t>Lo studio è condotto in conformità ai principi della Dichiarazione di Helsinki nella sua versione vigente, alle norme di buona pratica clinica applicabili agli studi osservazionali e alla normativa nazionale ed europea in materia di protezione dei dati personali.</w:t>
      </w:r>
    </w:p>
    <w:p>
      <w:pPr>
        <w:pStyle w:val="Heading2"/>
      </w:pPr>
      <w:r>
        <w:t>11.2 Consenso informato</w:t>
      </w:r>
    </w:p>
    <w:p>
      <w:r>
        <w:t>Per la componente prospettica è previsto consenso informato scritto, acquisito prima dell’esame indice da personale medico dello studio, mediante foglio informativo e modulo di consenso allegati al presente protocollo. Il partecipante può revocare il consenso in qualsiasi momento senza alcuna conseguenza sul proprio percorso di cura.</w:t>
      </w:r>
    </w:p>
    <w:p>
      <w:r>
        <w:t>Per la componente retrospettiva, condotta su dati generati nell’ambito dell’assistenza ordinaria, le modalità di consenso o le eventuali condizioni di esenzione sono sottoposte alla valutazione del Comitato Etico secondo quanto previsto per gli studi osservazionali retrospettivi.</w:t>
      </w:r>
    </w:p>
    <w:p>
      <w:pPr>
        <w:pStyle w:val="Heading2"/>
      </w:pPr>
      <w:r>
        <w:t>11.3 Rapporto rischio-beneficio</w:t>
      </w:r>
    </w:p>
    <w:p>
      <w:r>
        <w:t>Lo studio non introduce alcuna procedura aggiuntiva né alcuna modifica del percorso diagnostico o terapeutico. La CEUS e gli esami di verifica sono eseguiti per indicazione clinica indipendentemente dalla partecipazione allo studio. Il rischio aggiuntivo per i partecipanti è pertanto assente; il rischio residuo è limitato al trattamento dei dati personali, mitigato dalle misure descritte alla sezione 10.</w:t>
      </w:r>
    </w:p>
    <w:p>
      <w:r>
        <w:t>I partecipanti non traggono benefici diretti dalla partecipazione. Il beneficio atteso è di natura collettiva e consiste nella migliore definizione del ruolo della CEUS nei percorsi di sorveglianza oncologica.</w:t>
      </w:r>
    </w:p>
    <w:p>
      <w:pPr>
        <w:pStyle w:val="Heading2"/>
      </w:pPr>
      <w:r>
        <w:t>11.4 Popolazioni vulnerabili</w:t>
      </w:r>
    </w:p>
    <w:p>
      <w:r>
        <w:t>Non è previsto l’arruolamento di minori, di soggetti incapaci di prestare consenso o di altre popolazioni vulnerabili.</w:t>
      </w:r>
    </w:p>
    <w:p>
      <w:pPr>
        <w:pStyle w:val="Heading2"/>
      </w:pPr>
      <w:r>
        <w:t>11.5 Copertura assicurativa</w:t>
      </w:r>
    </w:p>
    <w:p>
      <w:r>
        <w:t>Trattandosi di studio osservazionale non interventistico che non prevede procedure aggiuntive rispetto alla pratica clinica, si ritiene applicabile la copertura assicurativa ordinaria dell’attività assistenziale. Ogni diversa indicazione del Comitato Etico sarà recepita.</w:t>
      </w:r>
    </w:p>
    <w:p>
      <w:pPr>
        <w:pStyle w:val="Heading2"/>
      </w:pPr>
      <w:r>
        <w:t>11.6 Compensi e conflitti di interesse</w:t>
      </w:r>
    </w:p>
    <w:p>
      <w:r>
        <w:t>Non è previsto alcun compenso per i partecipanti né per gli sperimentatori. Lo studio è condotto senza finanziamenti dedicati e senza sostegno da parte di soggetti commerciali. Gli sperimentatori dichiarano l’assenza di conflitti di interesse in relazione all’oggetto dello studio; eventuali variazioni saranno comunicate.</w:t>
      </w:r>
    </w:p>
    <w:p>
      <w:pPr>
        <w:pStyle w:val="Heading2"/>
      </w:pPr>
      <w:r>
        <w:t>11.7 Emendamenti</w:t>
      </w:r>
    </w:p>
    <w:p>
      <w:r>
        <w:t>Ogni modifica sostanziale al presente protocollo sarà sottoposta al Comitato Etico prima della sua attuazione.</w:t>
      </w:r>
    </w:p>
    <w:p>
      <w:pPr>
        <w:pStyle w:val="Heading2"/>
      </w:pPr>
      <w:r>
        <w:t>11.8 Percorso autorizzativo per il sotto-studio CEUS-DETECT-AI (nuovo)</w:t>
      </w:r>
    </w:p>
    <w:p>
      <w:r>
        <w:t>Come descritto in sezione 6.7.2, il percorso etico-autorizzativo per l'uso secondario dei filmati archiviati a fini di sviluppo algoritmico sarà sottoposto al Comitato Etico e al Responsabile della Protezione dei Dati contestualmente alla sottomissione del protocollo principale, con modulo di consenso informato specifico e distinto (opt-in), per evitare che l'attivazione di questa componente sia ritardata da un percorso autorizzativo aperto tardivamente.</w:t>
      </w:r>
    </w:p>
    <w:p>
      <w:pPr>
        <w:pStyle w:val="Heading1"/>
      </w:pPr>
      <w:r>
        <w:t>12. Organizzazione dello studio</w:t>
      </w:r>
    </w:p>
    <w:p>
      <w:pPr>
        <w:pStyle w:val="Heading2"/>
      </w:pPr>
      <w:r>
        <w:t>12.1 Coordinamento</w:t>
      </w:r>
    </w:p>
    <w:p>
      <w:r>
        <w:t>Il centro coordinatore ha la responsabilità del protocollo, della scheda raccolta dati, della formazione dei centri, del panel di lettura centralizzata e dell’analisi statistica.</w:t>
      </w:r>
    </w:p>
    <w:p>
      <w:pPr>
        <w:pStyle w:val="Heading2"/>
      </w:pPr>
      <w:r>
        <w:t>12.2 Comitato di studio</w:t>
      </w:r>
    </w:p>
    <w:p>
      <w:r>
        <w:t>È costituito un comitato di studio con un referente per ciascun centro partecipante, con funzioni di supervisione dell’andamento dell’arruolamento, di risoluzione delle questioni interpretative del protocollo e di approvazione degli studi ancillari.</w:t>
      </w:r>
    </w:p>
    <w:p>
      <w:pPr>
        <w:pStyle w:val="Heading2"/>
      </w:pPr>
      <w:r>
        <w:t>12.3 Diffusione dei risultati e politica di pubblicazione</w:t>
      </w:r>
    </w:p>
    <w:p>
      <w:r>
        <w:t>I risultati saranno resi pubblici indipendentemente dal loro esito, incluso l’esito negativo, mediante pubblicazione su rivista scientifica peer-reviewed e comunicazione congressuale.</w:t>
      </w:r>
    </w:p>
    <w:p>
      <w:r>
        <w:t>L’attribuzione delle qualifiche di autore segue i criteri ICMJE. La prima posizione autoriale è attribuita al coordinamento scientifico e alla responsabilità del protocollo; l’ultima posizione alla supervisione scientifica complessiva dello studio. Le posizioni autoriali dei centri partecipanti sono assegnate in funzione del contributo intellettuale e dell’arruolamento, con soglia minima prespecificata. L’autorialità degli studi ancillari è definita dal comitato di studio al momento della loro approvazione.</w:t>
      </w:r>
    </w:p>
    <w:p>
      <w:pPr>
        <w:pStyle w:val="Heading1"/>
      </w:pPr>
      <w:r>
        <w:t>13. Cronoprogramma</w:t>
      </w:r>
    </w:p>
    <w:p>
      <w:r>
        <w:rPr>
          <w:b/>
        </w:rPr>
        <w:t>Tabella 3 — Cronoprogramma</w:t>
      </w:r>
    </w:p>
    <w:tbl>
      <w:tblPr>
        <w:tblStyle w:val="LightGrid-Accent1"/>
        <w:tblW w:type="auto" w:w="0"/>
        <w:jc w:val="center"/>
        <w:tblLook w:firstColumn="1" w:firstRow="1" w:lastColumn="0" w:lastRow="0" w:noHBand="0" w:noVBand="1" w:val="04A0"/>
      </w:tblPr>
      <w:tblGrid>
        <w:gridCol w:w="3137"/>
        <w:gridCol w:w="3137"/>
        <w:gridCol w:w="3137"/>
      </w:tblGrid>
      <w:tr>
        <w:tc>
          <w:tcPr>
            <w:tcW w:type="dxa" w:w="3137"/>
          </w:tcPr>
          <w:p>
            <w:pPr>
              <w:spacing w:after="40"/>
            </w:pPr>
            <w:r>
              <w:rPr>
                <w:b/>
                <w:sz w:val="19"/>
              </w:rPr>
            </w:r>
            <w:r>
              <w:rPr>
                <w:b/>
                <w:sz w:val="19"/>
              </w:rPr>
              <w:t>Fase</w:t>
            </w:r>
          </w:p>
        </w:tc>
        <w:tc>
          <w:tcPr>
            <w:tcW w:type="dxa" w:w="3137"/>
          </w:tcPr>
          <w:p>
            <w:pPr>
              <w:spacing w:after="40"/>
            </w:pPr>
            <w:r>
              <w:rPr>
                <w:b/>
                <w:sz w:val="19"/>
              </w:rPr>
            </w:r>
            <w:r>
              <w:rPr>
                <w:b/>
                <w:sz w:val="19"/>
              </w:rPr>
              <w:t>Mesi</w:t>
            </w:r>
          </w:p>
        </w:tc>
        <w:tc>
          <w:tcPr>
            <w:tcW w:type="dxa" w:w="3137"/>
          </w:tcPr>
          <w:p>
            <w:pPr>
              <w:spacing w:after="40"/>
            </w:pPr>
            <w:r>
              <w:rPr>
                <w:b/>
                <w:sz w:val="19"/>
              </w:rPr>
            </w:r>
            <w:r>
              <w:rPr>
                <w:b/>
                <w:sz w:val="19"/>
              </w:rPr>
              <w:t>Attività</w:t>
            </w:r>
          </w:p>
        </w:tc>
      </w:tr>
      <w:tr>
        <w:tc>
          <w:tcPr>
            <w:tcW w:type="dxa" w:w="3137"/>
          </w:tcPr>
          <w:p>
            <w:pPr>
              <w:spacing w:after="40"/>
            </w:pPr>
            <w:r>
              <w:rPr>
                <w:sz w:val="19"/>
              </w:rPr>
            </w:r>
            <w:r>
              <w:rPr>
                <w:sz w:val="19"/>
              </w:rPr>
              <w:t>Avvio</w:t>
            </w:r>
          </w:p>
        </w:tc>
        <w:tc>
          <w:tcPr>
            <w:tcW w:type="dxa" w:w="3137"/>
          </w:tcPr>
          <w:p>
            <w:pPr>
              <w:spacing w:after="40"/>
            </w:pPr>
            <w:r>
              <w:rPr>
                <w:sz w:val="19"/>
              </w:rPr>
            </w:r>
            <w:r>
              <w:rPr>
                <w:sz w:val="19"/>
              </w:rPr>
              <w:t>1</w:t>
            </w:r>
          </w:p>
        </w:tc>
        <w:tc>
          <w:tcPr>
            <w:tcW w:type="dxa" w:w="3137"/>
          </w:tcPr>
          <w:p>
            <w:pPr>
              <w:spacing w:after="40"/>
            </w:pPr>
            <w:r>
              <w:rPr>
                <w:sz w:val="19"/>
              </w:rPr>
            </w:r>
            <w:r>
              <w:rPr>
                <w:sz w:val="19"/>
              </w:rPr>
              <w:t xml:space="preserve">Registrazione dello studio; predisposizione della scheda raccolta dati; formazione; definizione del panel di lettura; attivazione degli accordi di rete; </w:t>
            </w:r>
            <w:r>
              <w:rPr>
                <w:b/>
                <w:sz w:val="19"/>
              </w:rPr>
              <w:t>apertura in parallelo del percorso etico-autorizzativo per il sotto-studio CEUS-DETECT-AI (sezione 6.7.2, 11.8)</w:t>
            </w:r>
          </w:p>
        </w:tc>
      </w:tr>
      <w:tr>
        <w:tc>
          <w:tcPr>
            <w:tcW w:type="dxa" w:w="3137"/>
          </w:tcPr>
          <w:p>
            <w:pPr>
              <w:spacing w:after="40"/>
            </w:pPr>
            <w:r>
              <w:rPr>
                <w:sz w:val="19"/>
              </w:rPr>
            </w:r>
            <w:r>
              <w:rPr>
                <w:sz w:val="19"/>
              </w:rPr>
              <w:t>Fase retrospettiva</w:t>
            </w:r>
          </w:p>
        </w:tc>
        <w:tc>
          <w:tcPr>
            <w:tcW w:type="dxa" w:w="3137"/>
          </w:tcPr>
          <w:p>
            <w:pPr>
              <w:spacing w:after="40"/>
            </w:pPr>
            <w:r>
              <w:rPr>
                <w:sz w:val="19"/>
              </w:rPr>
            </w:r>
            <w:r>
              <w:rPr>
                <w:sz w:val="19"/>
              </w:rPr>
              <w:t>1–3</w:t>
            </w:r>
          </w:p>
        </w:tc>
        <w:tc>
          <w:tcPr>
            <w:tcW w:type="dxa" w:w="3137"/>
          </w:tcPr>
          <w:p>
            <w:pPr>
              <w:spacing w:after="40"/>
            </w:pPr>
            <w:r>
              <w:rPr>
                <w:sz w:val="19"/>
              </w:rPr>
            </w:r>
            <w:r>
              <w:rPr>
                <w:sz w:val="19"/>
              </w:rPr>
              <w:t>Coorte all-comers relativa ai 24 mesi precedenti; stima di prevalenza; analisi del verification bias; aggiornamento della numerosità; attivazione dei centri</w:t>
            </w:r>
          </w:p>
        </w:tc>
      </w:tr>
      <w:tr>
        <w:tc>
          <w:tcPr>
            <w:tcW w:type="dxa" w:w="3137"/>
          </w:tcPr>
          <w:p>
            <w:pPr>
              <w:spacing w:after="40"/>
            </w:pPr>
            <w:r>
              <w:rPr>
                <w:sz w:val="19"/>
              </w:rPr>
            </w:r>
            <w:r>
              <w:rPr>
                <w:sz w:val="19"/>
              </w:rPr>
              <w:t>Fase prospettica</w:t>
            </w:r>
          </w:p>
        </w:tc>
        <w:tc>
          <w:tcPr>
            <w:tcW w:type="dxa" w:w="3137"/>
          </w:tcPr>
          <w:p>
            <w:pPr>
              <w:spacing w:after="40"/>
            </w:pPr>
            <w:r>
              <w:rPr>
                <w:sz w:val="19"/>
              </w:rPr>
            </w:r>
            <w:r>
              <w:rPr>
                <w:sz w:val="19"/>
              </w:rPr>
              <w:t>4–15</w:t>
            </w:r>
          </w:p>
        </w:tc>
        <w:tc>
          <w:tcPr>
            <w:tcW w:type="dxa" w:w="3137"/>
          </w:tcPr>
          <w:p>
            <w:pPr>
              <w:spacing w:after="40"/>
            </w:pPr>
            <w:r>
              <w:rPr>
                <w:sz w:val="19"/>
              </w:rPr>
            </w:r>
            <w:r>
              <w:rPr>
                <w:sz w:val="19"/>
              </w:rPr>
              <w:t xml:space="preserve">Arruolamento consecutivo; raccolta dati standardizzata; acquisizione del consenso; archiviazione dei filmati; refertazione cieca; verifica differita; </w:t>
            </w:r>
            <w:r>
              <w:rPr>
                <w:b/>
                <w:sz w:val="19"/>
              </w:rPr>
              <w:t>blinded sample size re-estimation dopo 80–100 pazienti (≈mese 8, sezione 8.4)</w:t>
            </w:r>
          </w:p>
        </w:tc>
      </w:tr>
      <w:tr>
        <w:tc>
          <w:tcPr>
            <w:tcW w:type="dxa" w:w="3137"/>
          </w:tcPr>
          <w:p>
            <w:pPr>
              <w:spacing w:after="40"/>
            </w:pPr>
            <w:r>
              <w:rPr>
                <w:sz w:val="19"/>
              </w:rPr>
            </w:r>
            <w:r>
              <w:rPr>
                <w:sz w:val="19"/>
              </w:rPr>
              <w:t>Analisi</w:t>
            </w:r>
          </w:p>
        </w:tc>
        <w:tc>
          <w:tcPr>
            <w:tcW w:type="dxa" w:w="3137"/>
          </w:tcPr>
          <w:p>
            <w:pPr>
              <w:spacing w:after="40"/>
            </w:pPr>
            <w:r>
              <w:rPr>
                <w:sz w:val="19"/>
              </w:rPr>
            </w:r>
            <w:r>
              <w:rPr>
                <w:sz w:val="19"/>
              </w:rPr>
              <w:t>16–17</w:t>
            </w:r>
          </w:p>
        </w:tc>
        <w:tc>
          <w:tcPr>
            <w:tcW w:type="dxa" w:w="3137"/>
          </w:tcPr>
          <w:p>
            <w:pPr>
              <w:spacing w:after="40"/>
            </w:pPr>
            <w:r>
              <w:rPr>
                <w:sz w:val="19"/>
              </w:rPr>
            </w:r>
            <w:r>
              <w:rPr>
                <w:sz w:val="19"/>
              </w:rPr>
              <w:t>Verifica e pulizia della base dati; analisi primaria e secondarie; lettura centralizzata; analisi di sensitività</w:t>
            </w:r>
          </w:p>
        </w:tc>
      </w:tr>
      <w:tr>
        <w:tc>
          <w:tcPr>
            <w:tcW w:type="dxa" w:w="3137"/>
          </w:tcPr>
          <w:p>
            <w:pPr>
              <w:spacing w:after="40"/>
            </w:pPr>
            <w:r>
              <w:rPr>
                <w:sz w:val="19"/>
              </w:rPr>
            </w:r>
            <w:r>
              <w:rPr>
                <w:sz w:val="19"/>
              </w:rPr>
              <w:t>Diffusione</w:t>
            </w:r>
          </w:p>
        </w:tc>
        <w:tc>
          <w:tcPr>
            <w:tcW w:type="dxa" w:w="3137"/>
          </w:tcPr>
          <w:p>
            <w:pPr>
              <w:spacing w:after="40"/>
            </w:pPr>
            <w:r>
              <w:rPr>
                <w:sz w:val="19"/>
              </w:rPr>
            </w:r>
            <w:r>
              <w:rPr>
                <w:sz w:val="19"/>
              </w:rPr>
              <w:t>18–19</w:t>
            </w:r>
          </w:p>
        </w:tc>
        <w:tc>
          <w:tcPr>
            <w:tcW w:type="dxa" w:w="3137"/>
          </w:tcPr>
          <w:p>
            <w:pPr>
              <w:spacing w:after="40"/>
            </w:pPr>
            <w:r>
              <w:rPr>
                <w:sz w:val="19"/>
              </w:rPr>
            </w:r>
            <w:r>
              <w:rPr>
                <w:sz w:val="19"/>
              </w:rPr>
              <w:t>Stesura del manoscritto; revisione interna; sottomissione</w:t>
            </w:r>
          </w:p>
        </w:tc>
      </w:tr>
    </w:tbl>
    <w:p>
      <w:pPr>
        <w:spacing w:after="40"/>
      </w:pPr>
    </w:p>
    <w:p>
      <w:pPr>
        <w:pStyle w:val="Heading1"/>
      </w:pPr>
      <w:r>
        <w:t>14. Limitazioni note e strategie di mitigazione</w:t>
      </w:r>
    </w:p>
    <w:p>
      <w:r>
        <w:rPr>
          <w:b/>
        </w:rPr>
        <w:t>Tabella 4 — Limitazioni e mitigazioni</w:t>
      </w:r>
    </w:p>
    <w:tbl>
      <w:tblPr>
        <w:tblStyle w:val="LightGrid-Accent1"/>
        <w:tblW w:type="auto" w:w="0"/>
        <w:jc w:val="center"/>
        <w:tblLook w:firstColumn="1" w:firstRow="1" w:lastColumn="0" w:lastRow="0" w:noHBand="0" w:noVBand="1" w:val="04A0"/>
      </w:tblPr>
      <w:tblGrid>
        <w:gridCol w:w="4706"/>
        <w:gridCol w:w="4706"/>
      </w:tblGrid>
      <w:tr>
        <w:tc>
          <w:tcPr>
            <w:tcW w:type="dxa" w:w="4706"/>
          </w:tcPr>
          <w:p>
            <w:pPr>
              <w:spacing w:after="40"/>
            </w:pPr>
            <w:r>
              <w:rPr>
                <w:b/>
                <w:sz w:val="19"/>
              </w:rPr>
            </w:r>
            <w:r>
              <w:rPr>
                <w:b/>
                <w:sz w:val="19"/>
              </w:rPr>
              <w:t>Limitazione</w:t>
            </w:r>
          </w:p>
        </w:tc>
        <w:tc>
          <w:tcPr>
            <w:tcW w:type="dxa" w:w="4706"/>
          </w:tcPr>
          <w:p>
            <w:pPr>
              <w:spacing w:after="40"/>
            </w:pPr>
            <w:r>
              <w:rPr>
                <w:b/>
                <w:sz w:val="19"/>
              </w:rPr>
            </w:r>
            <w:r>
              <w:rPr>
                <w:b/>
                <w:sz w:val="19"/>
              </w:rPr>
              <w:t>Strategia di mitigazione</w:t>
            </w:r>
          </w:p>
        </w:tc>
      </w:tr>
      <w:tr>
        <w:tc>
          <w:tcPr>
            <w:tcW w:type="dxa" w:w="4706"/>
          </w:tcPr>
          <w:p>
            <w:pPr>
              <w:spacing w:after="40"/>
            </w:pPr>
            <w:r>
              <w:rPr>
                <w:sz w:val="19"/>
              </w:rPr>
            </w:r>
            <w:r>
              <w:rPr>
                <w:sz w:val="19"/>
              </w:rPr>
              <w:t>Reference standard composito: TC e RM non equivalenti</w:t>
            </w:r>
          </w:p>
        </w:tc>
        <w:tc>
          <w:tcPr>
            <w:tcW w:type="dxa" w:w="4706"/>
          </w:tcPr>
          <w:p>
            <w:pPr>
              <w:spacing w:after="40"/>
            </w:pPr>
            <w:r>
              <w:rPr>
                <w:sz w:val="19"/>
              </w:rPr>
            </w:r>
            <w:r>
              <w:rPr>
                <w:sz w:val="19"/>
              </w:rPr>
              <w:t>Gerarchia prespecificata; stratificazione per modalità; analisi di sensitività limitata alla RM</w:t>
            </w:r>
          </w:p>
        </w:tc>
      </w:tr>
      <w:tr>
        <w:tc>
          <w:tcPr>
            <w:tcW w:type="dxa" w:w="4706"/>
          </w:tcPr>
          <w:p>
            <w:pPr>
              <w:spacing w:after="40"/>
            </w:pPr>
            <w:r>
              <w:rPr>
                <w:sz w:val="19"/>
              </w:rPr>
            </w:r>
            <w:r>
              <w:rPr>
                <w:sz w:val="19"/>
              </w:rPr>
              <w:t>Verifica differita non ottenibile in tutti i casi</w:t>
            </w:r>
          </w:p>
        </w:tc>
        <w:tc>
          <w:tcPr>
            <w:tcW w:type="dxa" w:w="4706"/>
          </w:tcPr>
          <w:p>
            <w:pPr>
              <w:spacing w:after="40"/>
            </w:pPr>
            <w:r>
              <w:rPr>
                <w:sz w:val="19"/>
              </w:rPr>
            </w:r>
            <w:r>
              <w:rPr>
                <w:sz w:val="19"/>
              </w:rPr>
              <w:t>Finestra estesa a 9 mesi; censimento nel diagramma di flusso; analisi di sensitività dedicata</w:t>
            </w:r>
          </w:p>
        </w:tc>
      </w:tr>
      <w:tr>
        <w:tc>
          <w:tcPr>
            <w:tcW w:type="dxa" w:w="4706"/>
          </w:tcPr>
          <w:p>
            <w:pPr>
              <w:spacing w:after="40"/>
            </w:pPr>
            <w:r>
              <w:rPr>
                <w:sz w:val="19"/>
              </w:rPr>
            </w:r>
            <w:r>
              <w:rPr>
                <w:sz w:val="19"/>
              </w:rPr>
              <w:t>Operatore-dipendenza della metodica</w:t>
            </w:r>
          </w:p>
        </w:tc>
        <w:tc>
          <w:tcPr>
            <w:tcW w:type="dxa" w:w="4706"/>
          </w:tcPr>
          <w:p>
            <w:pPr>
              <w:spacing w:after="40"/>
            </w:pPr>
            <w:r>
              <w:rPr>
                <w:sz w:val="19"/>
              </w:rPr>
            </w:r>
            <w:r>
              <w:rPr>
                <w:sz w:val="19"/>
              </w:rPr>
              <w:t>Formazione comune; preset condivisi; archiviazione dei filmati; rilettura centralizzata su campione casuale</w:t>
            </w:r>
          </w:p>
        </w:tc>
      </w:tr>
      <w:tr>
        <w:tc>
          <w:tcPr>
            <w:tcW w:type="dxa" w:w="4706"/>
          </w:tcPr>
          <w:p>
            <w:pPr>
              <w:spacing w:after="40"/>
            </w:pPr>
            <w:r>
              <w:rPr>
                <w:sz w:val="19"/>
              </w:rPr>
            </w:r>
            <w:r>
              <w:rPr>
                <w:sz w:val="19"/>
              </w:rPr>
              <w:t>Esami non interpretabili per finestra acustica</w:t>
            </w:r>
          </w:p>
        </w:tc>
        <w:tc>
          <w:tcPr>
            <w:tcW w:type="dxa" w:w="4706"/>
          </w:tcPr>
          <w:p>
            <w:pPr>
              <w:spacing w:after="40"/>
            </w:pPr>
            <w:r>
              <w:rPr>
                <w:sz w:val="19"/>
              </w:rPr>
            </w:r>
            <w:r>
              <w:rPr>
                <w:sz w:val="19"/>
              </w:rPr>
              <w:t>Mantenimento in analisi; analisi intention-to-diagnose; analisi dei determinanti</w:t>
            </w:r>
          </w:p>
        </w:tc>
      </w:tr>
      <w:tr>
        <w:tc>
          <w:tcPr>
            <w:tcW w:type="dxa" w:w="4706"/>
          </w:tcPr>
          <w:p>
            <w:pPr>
              <w:spacing w:after="40"/>
            </w:pPr>
            <w:r>
              <w:rPr>
                <w:sz w:val="19"/>
              </w:rPr>
            </w:r>
            <w:r>
              <w:rPr>
                <w:sz w:val="19"/>
              </w:rPr>
              <w:t>Eterogeneità della coorte non-CRC</w:t>
            </w:r>
          </w:p>
        </w:tc>
        <w:tc>
          <w:tcPr>
            <w:tcW w:type="dxa" w:w="4706"/>
          </w:tcPr>
          <w:p>
            <w:pPr>
              <w:spacing w:after="40"/>
            </w:pPr>
            <w:r>
              <w:rPr>
                <w:sz w:val="19"/>
              </w:rPr>
            </w:r>
            <w:r>
              <w:rPr>
                <w:sz w:val="19"/>
              </w:rPr>
              <w:t>Natura esplorativa dichiarata; soglia minima di 20 pazienti per sottogruppo</w:t>
            </w:r>
          </w:p>
        </w:tc>
      </w:tr>
      <w:tr>
        <w:tc>
          <w:tcPr>
            <w:tcW w:type="dxa" w:w="4706"/>
          </w:tcPr>
          <w:p>
            <w:pPr>
              <w:spacing w:after="40"/>
            </w:pPr>
            <w:r>
              <w:rPr>
                <w:sz w:val="19"/>
              </w:rPr>
            </w:r>
            <w:r>
              <w:rPr>
                <w:sz w:val="19"/>
              </w:rPr>
              <w:t>Trattamento oncologico attivo e alterazione della vascolarizzazione lesionale</w:t>
            </w:r>
          </w:p>
        </w:tc>
        <w:tc>
          <w:tcPr>
            <w:tcW w:type="dxa" w:w="4706"/>
          </w:tcPr>
          <w:p>
            <w:pPr>
              <w:spacing w:after="40"/>
            </w:pPr>
            <w:r>
              <w:rPr>
                <w:sz w:val="19"/>
              </w:rPr>
            </w:r>
            <w:r>
              <w:rPr>
                <w:sz w:val="19"/>
              </w:rPr>
              <w:t>Registrazione sistematica; analisi di sensitività</w:t>
            </w:r>
          </w:p>
        </w:tc>
      </w:tr>
      <w:tr>
        <w:tc>
          <w:tcPr>
            <w:tcW w:type="dxa" w:w="4706"/>
          </w:tcPr>
          <w:p>
            <w:pPr>
              <w:spacing w:after="40"/>
            </w:pPr>
            <w:r>
              <w:rPr>
                <w:sz w:val="19"/>
              </w:rPr>
            </w:r>
            <w:r>
              <w:rPr>
                <w:sz w:val="19"/>
              </w:rPr>
              <w:t>Eterogeneità tecnica tra centri</w:t>
            </w:r>
          </w:p>
        </w:tc>
        <w:tc>
          <w:tcPr>
            <w:tcW w:type="dxa" w:w="4706"/>
          </w:tcPr>
          <w:p>
            <w:pPr>
              <w:spacing w:after="40"/>
            </w:pPr>
            <w:r>
              <w:rPr>
                <w:sz w:val="19"/>
              </w:rPr>
            </w:r>
            <w:r>
              <w:rPr>
                <w:sz w:val="19"/>
              </w:rPr>
              <w:t>Protocollo di acquisizione condiviso; registrazione di apparecchiatura e preset; analisi per centro</w:t>
            </w:r>
          </w:p>
        </w:tc>
      </w:tr>
      <w:tr>
        <w:tc>
          <w:tcPr>
            <w:tcW w:type="dxa" w:w="4706"/>
          </w:tcPr>
          <w:p>
            <w:pPr>
              <w:spacing w:after="40"/>
            </w:pPr>
            <w:r>
              <w:rPr>
                <w:sz w:val="19"/>
              </w:rPr>
            </w:r>
            <w:r>
              <w:rPr>
                <w:sz w:val="19"/>
              </w:rPr>
              <w:t>Prevalenza inferiore all’atteso</w:t>
            </w:r>
          </w:p>
        </w:tc>
        <w:tc>
          <w:tcPr>
            <w:tcW w:type="dxa" w:w="4706"/>
          </w:tcPr>
          <w:p>
            <w:pPr>
              <w:spacing w:after="40"/>
            </w:pPr>
            <w:r>
              <w:rPr>
                <w:sz w:val="19"/>
              </w:rPr>
            </w:r>
            <w:r>
              <w:rPr>
                <w:sz w:val="19"/>
              </w:rPr>
              <w:t>Aggiornamento formale della numerosità dopo la fase retrospettiva; ampliamento del numero di centri</w:t>
            </w:r>
          </w:p>
        </w:tc>
      </w:tr>
      <w:tr>
        <w:tc>
          <w:tcPr>
            <w:tcW w:type="dxa" w:w="4706"/>
          </w:tcPr>
          <w:p>
            <w:pPr>
              <w:spacing w:after="40"/>
            </w:pPr>
            <w:r>
              <w:rPr>
                <w:sz w:val="19"/>
              </w:rPr>
            </w:r>
            <w:r>
              <w:rPr>
                <w:sz w:val="19"/>
              </w:rPr>
              <w:t>Tasso di detection incrementale atteso estrapolato da un contesto clinico diverso (stadiazione iniziale)</w:t>
            </w:r>
          </w:p>
        </w:tc>
        <w:tc>
          <w:tcPr>
            <w:tcW w:type="dxa" w:w="4706"/>
          </w:tcPr>
          <w:p>
            <w:pPr>
              <w:spacing w:after="40"/>
            </w:pPr>
            <w:r>
              <w:rPr>
                <w:sz w:val="19"/>
              </w:rPr>
            </w:r>
            <w:r>
              <w:rPr>
                <w:sz w:val="19"/>
              </w:rPr>
              <w:t>Blinded sample size re-estimation dopo 80-100 pazienti prospettici (sezione 8.4)</w:t>
            </w:r>
          </w:p>
        </w:tc>
      </w:tr>
      <w:tr>
        <w:tc>
          <w:tcPr>
            <w:tcW w:type="dxa" w:w="4706"/>
          </w:tcPr>
          <w:p>
            <w:pPr>
              <w:spacing w:after="40"/>
            </w:pPr>
            <w:r>
              <w:rPr>
                <w:sz w:val="19"/>
              </w:rPr>
            </w:r>
            <w:r>
              <w:rPr>
                <w:sz w:val="19"/>
              </w:rPr>
              <w:t>Endpoint primario potenzialmente trainato da reperti di rilevanza clinica marginale</w:t>
            </w:r>
          </w:p>
        </w:tc>
        <w:tc>
          <w:tcPr>
            <w:tcW w:type="dxa" w:w="4706"/>
          </w:tcPr>
          <w:p>
            <w:pPr>
              <w:spacing w:after="40"/>
            </w:pPr>
            <w:r>
              <w:rPr>
                <w:sz w:val="19"/>
              </w:rPr>
            </w:r>
            <w:r>
              <w:rPr>
                <w:sz w:val="19"/>
              </w:rPr>
              <w:t>Incremental detection rate "azionabile" come endpoint secondario dedicato (sezione 2.2)</w:t>
            </w:r>
          </w:p>
        </w:tc>
      </w:tr>
      <w:tr>
        <w:tc>
          <w:tcPr>
            <w:tcW w:type="dxa" w:w="4706"/>
          </w:tcPr>
          <w:p>
            <w:pPr>
              <w:spacing w:after="40"/>
            </w:pPr>
            <w:r>
              <w:rPr>
                <w:sz w:val="19"/>
              </w:rPr>
            </w:r>
            <w:r>
              <w:rPr>
                <w:sz w:val="19"/>
              </w:rPr>
              <w:t>Performance CEUS verosimilmente diversa nel sottogruppo pancreatico-biliare per ragioni anatomiche e di letteratura</w:t>
            </w:r>
          </w:p>
        </w:tc>
        <w:tc>
          <w:tcPr>
            <w:tcW w:type="dxa" w:w="4706"/>
          </w:tcPr>
          <w:p>
            <w:pPr>
              <w:spacing w:after="40"/>
            </w:pPr>
            <w:r>
              <w:rPr>
                <w:sz w:val="19"/>
              </w:rPr>
            </w:r>
            <w:r>
              <w:rPr>
                <w:sz w:val="19"/>
              </w:rPr>
              <w:t>Analisi separata di qualità/interpretabilità per questo sottogruppo, con registrazione dello stato chirurgico pregresso (sezione 4.5)</w:t>
            </w:r>
          </w:p>
        </w:tc>
      </w:tr>
      <w:tr>
        <w:tc>
          <w:tcPr>
            <w:tcW w:type="dxa" w:w="4706"/>
          </w:tcPr>
          <w:p>
            <w:pPr>
              <w:spacing w:after="40"/>
            </w:pPr>
            <w:r>
              <w:rPr>
                <w:sz w:val="19"/>
              </w:rPr>
            </w:r>
            <w:r>
              <w:rPr>
                <w:sz w:val="19"/>
              </w:rPr>
              <w:t>Sotto-studio AI: rischio di sovrastima della performance se la validazione non è genuinamente esterna</w:t>
            </w:r>
          </w:p>
        </w:tc>
        <w:tc>
          <w:tcPr>
            <w:tcW w:type="dxa" w:w="4706"/>
          </w:tcPr>
          <w:p>
            <w:pPr>
              <w:spacing w:after="40"/>
            </w:pPr>
            <w:r>
              <w:rPr>
                <w:sz w:val="19"/>
              </w:rPr>
            </w:r>
            <w:r>
              <w:rPr>
                <w:sz w:val="19"/>
              </w:rPr>
              <w:t>Split per paziente; validazione finale su centro escluso dal training; adozione di STARD-AI (sezione 6.7.2)</w:t>
            </w:r>
          </w:p>
        </w:tc>
      </w:tr>
      <w:tr>
        <w:tc>
          <w:tcPr>
            <w:tcW w:type="dxa" w:w="4706"/>
          </w:tcPr>
          <w:p>
            <w:pPr>
              <w:spacing w:after="40"/>
            </w:pPr>
            <w:r>
              <w:rPr>
                <w:sz w:val="19"/>
              </w:rPr>
            </w:r>
            <w:r>
              <w:rPr>
                <w:sz w:val="19"/>
              </w:rPr>
              <w:t>Percorso autorizzativo del sotto-studio AI potenzialmente lento</w:t>
            </w:r>
          </w:p>
        </w:tc>
        <w:tc>
          <w:tcPr>
            <w:tcW w:type="dxa" w:w="4706"/>
          </w:tcPr>
          <w:p>
            <w:pPr>
              <w:spacing w:after="40"/>
            </w:pPr>
            <w:r>
              <w:rPr>
                <w:sz w:val="19"/>
              </w:rPr>
            </w:r>
            <w:r>
              <w:rPr>
                <w:sz w:val="19"/>
              </w:rPr>
              <w:t>Apertura del percorso dal mese 1, in parallelo allo studio principale (sezione 6.7.2, 11.8)</w:t>
            </w:r>
          </w:p>
        </w:tc>
      </w:tr>
    </w:tbl>
    <w:p>
      <w:pPr>
        <w:spacing w:after="40"/>
      </w:pPr>
    </w:p>
    <w:p>
      <w:pPr>
        <w:pStyle w:val="Heading1"/>
      </w:pPr>
      <w:r>
        <w:t>15. Bibliografia</w:t>
      </w:r>
    </w:p>
    <w:p>
      <w:pPr>
        <w:pStyle w:val="ListNumber"/>
      </w:pPr>
      <w:r>
        <w:t xml:space="preserve">Dietrich CF, Nolsøe CP, Barr RG, Berzigotti A, Burns PN, Cantisani V, et al. Guidelines and Good Clinical Practice Recommendations for Contrast Enhanced Ultrasound (CEUS) in the Liver — Update 2020. WFUMB in Cooperation with EFSUMB, AFSUMB, AIUM, and FLAUS. </w:t>
      </w:r>
      <w:r>
        <w:rPr>
          <w:i/>
        </w:rPr>
        <w:t>Ultraschall Med.</w:t>
      </w:r>
      <w:r>
        <w:t xml:space="preserve"> 2020;41(5):562–585. PMID 32713788. (Pubblicato in parallelo anche in </w:t>
      </w:r>
      <w:r>
        <w:rPr>
          <w:i/>
        </w:rPr>
        <w:t>Ultrasound Med Biol.</w:t>
      </w:r>
      <w:r>
        <w:t xml:space="preserve"> 2020;46(10):2579–2604. PMID 32707595.)</w:t>
      </w:r>
    </w:p>
    <w:p>
      <w:pPr>
        <w:pStyle w:val="ListNumber"/>
      </w:pPr>
      <w:r>
        <w:t xml:space="preserve">Sawatzki M, Güller U, Güsewell S, Husarik DB, Semela D, Brand S. Contrast-enhanced ultrasound can guide the therapeutic strategy by improving the detection of colorectal liver metastases. </w:t>
      </w:r>
      <w:r>
        <w:rPr>
          <w:i/>
        </w:rPr>
        <w:t>J Hepatol.</w:t>
      </w:r>
      <w:r>
        <w:t xml:space="preserve"> 2021;74(2):419–427. PMID 33065168. </w:t>
      </w:r>
      <w:r>
        <w:rPr>
          <w:i/>
        </w:rPr>
        <w:t>(Corretto in questa revisione: la bibliografia della v5 riportava erroneamente le pagine 281–288.)</w:t>
      </w:r>
    </w:p>
    <w:p>
      <w:pPr>
        <w:pStyle w:val="ListNumber"/>
      </w:pPr>
      <w:r>
        <w:t xml:space="preserve">Piscaglia F, Corradi F, Mancini M, et al. Real time contrast enhanced ultrasonography in detection of liver metastases from gastrointestinal cancer. </w:t>
      </w:r>
      <w:r>
        <w:rPr>
          <w:i/>
        </w:rPr>
        <w:t>BMC Cancer.</w:t>
      </w:r>
      <w:r>
        <w:t xml:space="preserve"> 2007;7:171.</w:t>
      </w:r>
    </w:p>
    <w:p>
      <w:pPr>
        <w:pStyle w:val="ListNumber"/>
      </w:pPr>
      <w:r>
        <w:t xml:space="preserve">Rafaelsen SR, Jakobsen A. Contrast-enhanced ultrasound vs multidetector-computed tomography for detecting liver metastases in colorectal cancer. </w:t>
      </w:r>
      <w:r>
        <w:rPr>
          <w:i/>
        </w:rPr>
        <w:t>Colorectal Dis.</w:t>
      </w:r>
      <w:r>
        <w:t xml:space="preserve"> 2011;13(4):420–425.</w:t>
      </w:r>
    </w:p>
    <w:p>
      <w:pPr>
        <w:pStyle w:val="ListNumber"/>
      </w:pPr>
      <w:r>
        <w:t xml:space="preserve">Cantisani V, Grazhdani H, Fioravanti C, et al. Liver metastases: Contrast-enhanced ultrasound compared with computed tomography and magnetic resonance. </w:t>
      </w:r>
      <w:r>
        <w:rPr>
          <w:i/>
        </w:rPr>
        <w:t>World J Gastroenterol.</w:t>
      </w:r>
      <w:r>
        <w:t xml:space="preserve"> 2014;20(29):9998–10007.</w:t>
      </w:r>
    </w:p>
    <w:p>
      <w:pPr>
        <w:pStyle w:val="ListNumber"/>
      </w:pPr>
      <w:r>
        <w:t xml:space="preserve">CEUS compared with CECT, MRI, and FDG-PET/CT for diagnosing CRC liver metastases: a diagnostic test accuracy systematic review and meta-analysis. </w:t>
      </w:r>
      <w:r>
        <w:rPr>
          <w:i/>
        </w:rPr>
        <w:t>Expert Rev Gastroenterol Hepatol.</w:t>
      </w:r>
      <w:r>
        <w:t xml:space="preserve"> 2024;18(9). doi:10.1080/17474124.2024.2407973. </w:t>
      </w:r>
      <w:r>
        <w:rPr>
          <w:i/>
        </w:rPr>
        <w:t>(Nota: l'elenco completo degli autori, incluso in fase di revisione il nome "Solbiati M" già presente nella v5, non è stato confermato con certezza indipendente — verificare direttamente su Tandfonline/PubMed prima della sottomissione definitiva.)</w:t>
      </w:r>
    </w:p>
    <w:p>
      <w:pPr>
        <w:pStyle w:val="ListNumber"/>
      </w:pPr>
      <w:r>
        <w:t xml:space="preserve">Begg CB, Greenes RA. Assessment of diagnostic tests when disease verification is subject to selection bias. </w:t>
      </w:r>
      <w:r>
        <w:rPr>
          <w:i/>
        </w:rPr>
        <w:t>Biometrics.</w:t>
      </w:r>
      <w:r>
        <w:t xml:space="preserve"> 1983;39(1):207–215. PMID 6871349.</w:t>
      </w:r>
    </w:p>
    <w:p>
      <w:pPr>
        <w:pStyle w:val="ListNumber"/>
      </w:pPr>
      <w:r>
        <w:t xml:space="preserve">Bossuyt PM, Reitsma JB, Bruns DE, et al; STARD Group. STARD 2015: an updated list of essential items for reporting diagnostic accuracy studies. </w:t>
      </w:r>
      <w:r>
        <w:rPr>
          <w:i/>
        </w:rPr>
        <w:t>BMJ.</w:t>
      </w:r>
      <w:r>
        <w:t xml:space="preserve"> 2015;351:h5527. PMID 26511519.</w:t>
      </w:r>
    </w:p>
    <w:p>
      <w:pPr>
        <w:pStyle w:val="ListNumber"/>
      </w:pPr>
      <w:r>
        <w:t xml:space="preserve">Sounderajah V, Guni A, Liu X, et al.; STARD-AI Steering Committee and Consensus Group. The STARD-AI reporting guideline for diagnostic accuracy studies using artificial intelligence. </w:t>
      </w:r>
      <w:r>
        <w:rPr>
          <w:i/>
        </w:rPr>
        <w:t>Nat Med.</w:t>
      </w:r>
      <w:r>
        <w:t xml:space="preserve"> 2025;31(10):3283–3289. doi:10.1038/s41591-025-03953-8. PMID 40954311.</w:t>
      </w:r>
    </w:p>
    <w:p>
      <w:pPr>
        <w:pStyle w:val="ListNumber"/>
      </w:pPr>
      <w:r>
        <w:t>Contrast-enhanced harmonic endoscopic ultrasound (CH-EUS) MASTER: a novel deep learning-based system in pancreatic mass diagnosis. PMC10134340 (2023).</w:t>
      </w:r>
    </w:p>
    <w:p>
      <w:pPr>
        <w:pStyle w:val="ListNumber"/>
      </w:pPr>
      <w:r>
        <w:t xml:space="preserve">Diagnostic value of deep learning-assisted endoscopic ultrasound for pancreatic tumors: a systematic review and meta-analysis. </w:t>
      </w:r>
      <w:r>
        <w:rPr>
          <w:i/>
        </w:rPr>
        <w:t>Front Oncol.</w:t>
      </w:r>
      <w:r>
        <w:t xml:space="preserve"> 2023. doi:10.3389/fonc.2023.1191008.</w:t>
      </w:r>
    </w:p>
    <w:p>
      <w:pPr>
        <w:pStyle w:val="ListNumber"/>
      </w:pPr>
      <w:r>
        <w:t xml:space="preserve">Wang X, Zhang L, Xie X, et al. Automated recognition and segmentation of standard upper-abdominal ultrasound sections using deep learning. </w:t>
      </w:r>
      <w:r>
        <w:rPr>
          <w:i/>
        </w:rPr>
        <w:t>Ultrasound Med Biol.</w:t>
      </w:r>
      <w:r>
        <w:t xml:space="preserve"> 2026, in press. PMID 42399171.</w:t>
      </w:r>
    </w:p>
    <w:p>
      <w:pPr>
        <w:pStyle w:val="ListNumber"/>
      </w:pPr>
      <w:r>
        <w:t xml:space="preserve">Cao K, Xia Y, Yao J, et al. Large-scale pancreatic cancer detection via non-contrast CT and deep learning. </w:t>
      </w:r>
      <w:r>
        <w:rPr>
          <w:i/>
        </w:rPr>
        <w:t>Nat Med.</w:t>
      </w:r>
      <w:r>
        <w:t xml:space="preserve"> 2023;29(12):3033–3043. PMID 37985692.</w:t>
      </w:r>
    </w:p>
    <w:p>
      <w:r>
        <w:rPr>
          <w:i/>
        </w:rPr>
        <w:t>Nota metodologica sulla verifica bibliografica: la ricerca è stata condotta con accesso a motori di ricerca web, con verifica incrociata su più fonti indipendenti per ciascun riferimento; l'accesso diretto a PubMed/Crossref è risultato bloccato nell'ambiente di lavoro utilizzato per la revisione. Si raccomanda una verifica finale diretta su PubMed/DOI resolver di tutti i riferimenti prima della sottomissione al Comitato Etico, in particolare per il riferimento 6 (elenco autori) e per il riferimento 10 (titolo/autori completi da confermare).</w:t>
      </w:r>
    </w:p>
    <w:p>
      <w:pPr>
        <w:pStyle w:val="Heading1"/>
      </w:pPr>
      <w:r>
        <w:t>16. Allegati</w:t>
      </w:r>
    </w:p>
    <w:p>
      <w:pPr>
        <w:pStyle w:val="ListNumber"/>
      </w:pPr>
      <w:r>
        <w:t>Foglio informativo per il partecipante</w:t>
      </w:r>
    </w:p>
    <w:p>
      <w:pPr>
        <w:pStyle w:val="ListNumber"/>
      </w:pPr>
      <w:r>
        <w:t>Modulo di consenso informato</w:t>
      </w:r>
    </w:p>
    <w:p>
      <w:pPr>
        <w:pStyle w:val="ListNumber"/>
      </w:pPr>
      <w:r>
        <w:t>Informativa sul trattamento dei dati personali</w:t>
      </w:r>
    </w:p>
    <w:p>
      <w:pPr>
        <w:pStyle w:val="ListNumber"/>
      </w:pPr>
      <w:r>
        <w:t>Scheda raccolta dati</w:t>
      </w:r>
    </w:p>
    <w:p>
      <w:pPr>
        <w:pStyle w:val="ListNumber"/>
      </w:pPr>
      <w:r>
        <w:t>Modello di referto CEUS strutturato</w:t>
      </w:r>
    </w:p>
    <w:p>
      <w:pPr>
        <w:pStyle w:val="ListNumber"/>
      </w:pPr>
      <w:r>
        <w:t>Elenco dei centri partecipanti e referenti</w:t>
      </w:r>
    </w:p>
    <w:p>
      <w:pPr>
        <w:pStyle w:val="ListNumber"/>
      </w:pPr>
      <w:r>
        <w:t>Curriculum vitae dello sperimentatore principale</w:t>
      </w:r>
    </w:p>
    <w:p>
      <w:pPr>
        <w:pStyle w:val="ListNumber"/>
      </w:pPr>
      <w:r>
        <w:t>Dichiarazione di assenza di conflitti di interesse</w:t>
      </w:r>
    </w:p>
    <w:p>
      <w:pPr>
        <w:pStyle w:val="ListNumber"/>
      </w:pPr>
      <w:r>
        <w:t>Modulo di consenso informato specifico per il sotto-studio ancillare CEUS-DETECT-AI (nuovo)</w:t>
      </w:r>
    </w:p>
    <w:p>
      <w:pPr>
        <w:pStyle w:val="ListNumber"/>
      </w:pPr>
      <w:r>
        <w:t>Scheda di annotazione strutturata minima per riuso secondario dei dati (sezione 6.7.1) (nuovo)</w:t>
      </w:r>
    </w:p>
    <w:p>
      <w:pPr>
        <w:pStyle w:val="Heading1"/>
      </w:pPr>
      <w:r>
        <w:t>Parte G — Elenco dettagliato delle modifiche e motivazione scientifica</w:t>
      </w:r>
    </w:p>
    <w:p>
      <w:pPr>
        <w:pStyle w:val="Heading2"/>
      </w:pPr>
      <w:r>
        <w:t>G.1 — TIRZEPATIDE-MASLD (v1.2 → v2.0)</w:t>
      </w:r>
    </w:p>
    <w:tbl>
      <w:tblPr>
        <w:tblStyle w:val="LightGrid-Accent1"/>
        <w:tblW w:type="auto" w:w="0"/>
        <w:jc w:val="center"/>
        <w:tblLook w:firstColumn="1" w:firstRow="1" w:lastColumn="0" w:lastRow="0" w:noHBand="0" w:noVBand="1" w:val="04A0"/>
      </w:tblPr>
      <w:tblGrid>
        <w:gridCol w:w="2353"/>
        <w:gridCol w:w="2353"/>
        <w:gridCol w:w="2353"/>
        <w:gridCol w:w="2353"/>
      </w:tblGrid>
      <w:tr>
        <w:tc>
          <w:tcPr>
            <w:tcW w:type="dxa" w:w="2353"/>
          </w:tcPr>
          <w:p>
            <w:pPr>
              <w:spacing w:after="40"/>
            </w:pPr>
            <w:r>
              <w:rPr>
                <w:b/>
                <w:sz w:val="19"/>
              </w:rPr>
            </w:r>
            <w:r>
              <w:rPr>
                <w:b/>
                <w:sz w:val="19"/>
              </w:rPr>
              <w:t>#</w:t>
            </w:r>
          </w:p>
        </w:tc>
        <w:tc>
          <w:tcPr>
            <w:tcW w:type="dxa" w:w="2353"/>
          </w:tcPr>
          <w:p>
            <w:pPr>
              <w:spacing w:after="40"/>
            </w:pPr>
            <w:r>
              <w:rPr>
                <w:b/>
                <w:sz w:val="19"/>
              </w:rPr>
            </w:r>
            <w:r>
              <w:rPr>
                <w:b/>
                <w:sz w:val="19"/>
              </w:rPr>
              <w:t>Modifica</w:t>
            </w:r>
          </w:p>
        </w:tc>
        <w:tc>
          <w:tcPr>
            <w:tcW w:type="dxa" w:w="2353"/>
          </w:tcPr>
          <w:p>
            <w:pPr>
              <w:spacing w:after="40"/>
            </w:pPr>
            <w:r>
              <w:rPr>
                <w:b/>
                <w:sz w:val="19"/>
              </w:rPr>
            </w:r>
            <w:r>
              <w:rPr>
                <w:b/>
                <w:sz w:val="19"/>
              </w:rPr>
              <w:t>Sezione</w:t>
            </w:r>
          </w:p>
        </w:tc>
        <w:tc>
          <w:tcPr>
            <w:tcW w:type="dxa" w:w="2353"/>
          </w:tcPr>
          <w:p>
            <w:pPr>
              <w:spacing w:after="40"/>
            </w:pPr>
            <w:r>
              <w:rPr>
                <w:b/>
                <w:sz w:val="19"/>
              </w:rPr>
            </w:r>
            <w:r>
              <w:rPr>
                <w:b/>
                <w:sz w:val="19"/>
              </w:rPr>
              <w:t>Motivazione scientifica</w:t>
            </w:r>
          </w:p>
        </w:tc>
      </w:tr>
      <w:tr>
        <w:tc>
          <w:tcPr>
            <w:tcW w:type="dxa" w:w="2353"/>
          </w:tcPr>
          <w:p>
            <w:pPr>
              <w:spacing w:after="40"/>
            </w:pPr>
            <w:r>
              <w:rPr>
                <w:sz w:val="19"/>
              </w:rPr>
            </w:r>
            <w:r>
              <w:rPr>
                <w:sz w:val="19"/>
              </w:rPr>
              <w:t>1</w:t>
            </w:r>
          </w:p>
        </w:tc>
        <w:tc>
          <w:tcPr>
            <w:tcW w:type="dxa" w:w="2353"/>
          </w:tcPr>
          <w:p>
            <w:pPr>
              <w:spacing w:after="40"/>
            </w:pPr>
            <w:r>
              <w:rPr>
                <w:sz w:val="19"/>
              </w:rPr>
            </w:r>
            <w:r>
              <w:rPr>
                <w:sz w:val="19"/>
              </w:rPr>
              <w:t>Aggiunta di una coorte di confronto osservazionale non randomizzata</w:t>
            </w:r>
          </w:p>
        </w:tc>
        <w:tc>
          <w:tcPr>
            <w:tcW w:type="dxa" w:w="2353"/>
          </w:tcPr>
          <w:p>
            <w:pPr>
              <w:spacing w:after="40"/>
            </w:pPr>
            <w:r>
              <w:rPr>
                <w:sz w:val="19"/>
              </w:rPr>
            </w:r>
            <w:r>
              <w:rPr>
                <w:sz w:val="19"/>
              </w:rPr>
              <w:t>Titolo, 4, 5.3, 6</w:t>
            </w:r>
          </w:p>
        </w:tc>
        <w:tc>
          <w:tcPr>
            <w:tcW w:type="dxa" w:w="2353"/>
          </w:tcPr>
          <w:p>
            <w:pPr>
              <w:spacing w:after="40"/>
            </w:pPr>
            <w:r>
              <w:rPr>
                <w:sz w:val="19"/>
              </w:rPr>
            </w:r>
            <w:r>
              <w:rPr>
                <w:sz w:val="19"/>
              </w:rPr>
              <w:t>Correggere il limite causale più grave del disegno a braccio singolo (C.1, revisore metodologo); consente analisi difference-in-differences e aggiustamento per propensity score senza richiedere randomizzazione</w:t>
            </w:r>
          </w:p>
        </w:tc>
      </w:tr>
      <w:tr>
        <w:tc>
          <w:tcPr>
            <w:tcW w:type="dxa" w:w="2353"/>
          </w:tcPr>
          <w:p>
            <w:pPr>
              <w:spacing w:after="40"/>
            </w:pPr>
            <w:r>
              <w:rPr>
                <w:sz w:val="19"/>
              </w:rPr>
            </w:r>
            <w:r>
              <w:rPr>
                <w:sz w:val="19"/>
              </w:rPr>
              <w:t>2</w:t>
            </w:r>
          </w:p>
        </w:tc>
        <w:tc>
          <w:tcPr>
            <w:tcW w:type="dxa" w:w="2353"/>
          </w:tcPr>
          <w:p>
            <w:pPr>
              <w:spacing w:after="40"/>
            </w:pPr>
            <w:r>
              <w:rPr>
                <w:sz w:val="19"/>
              </w:rPr>
            </w:r>
            <w:r>
              <w:rPr>
                <w:sz w:val="19"/>
              </w:rPr>
              <w:t>Endpoint primario ridefinito come confronto fra bracci (difference-in-differences), con l'analisi within-subject mantenuta come secondaria di continuità</w:t>
            </w:r>
          </w:p>
        </w:tc>
        <w:tc>
          <w:tcPr>
            <w:tcW w:type="dxa" w:w="2353"/>
          </w:tcPr>
          <w:p>
            <w:pPr>
              <w:spacing w:after="40"/>
            </w:pPr>
            <w:r>
              <w:rPr>
                <w:sz w:val="19"/>
              </w:rPr>
            </w:r>
            <w:r>
              <w:rPr>
                <w:sz w:val="19"/>
              </w:rPr>
              <w:t>3.1, 9.1</w:t>
            </w:r>
          </w:p>
        </w:tc>
        <w:tc>
          <w:tcPr>
            <w:tcW w:type="dxa" w:w="2353"/>
          </w:tcPr>
          <w:p>
            <w:pPr>
              <w:spacing w:after="40"/>
            </w:pPr>
            <w:r>
              <w:rPr>
                <w:sz w:val="19"/>
              </w:rPr>
            </w:r>
            <w:r>
              <w:rPr>
                <w:sz w:val="19"/>
              </w:rPr>
              <w:t>Coerenza con la modifica 1; preserva la confrontabilità con l'analisi originaria</w:t>
            </w:r>
          </w:p>
        </w:tc>
      </w:tr>
      <w:tr>
        <w:tc>
          <w:tcPr>
            <w:tcW w:type="dxa" w:w="2353"/>
          </w:tcPr>
          <w:p>
            <w:pPr>
              <w:spacing w:after="40"/>
            </w:pPr>
            <w:r>
              <w:rPr>
                <w:sz w:val="19"/>
              </w:rPr>
            </w:r>
            <w:r>
              <w:rPr>
                <w:sz w:val="19"/>
              </w:rPr>
              <w:t>3</w:t>
            </w:r>
          </w:p>
        </w:tc>
        <w:tc>
          <w:tcPr>
            <w:tcW w:type="dxa" w:w="2353"/>
          </w:tcPr>
          <w:p>
            <w:pPr>
              <w:spacing w:after="40"/>
            </w:pPr>
            <w:r>
              <w:rPr>
                <w:sz w:val="19"/>
              </w:rPr>
            </w:r>
            <w:r>
              <w:rPr>
                <w:sz w:val="19"/>
              </w:rPr>
              <w:t>Numerosità campionaria ricalcolata per il confronto fra bracci (n≈24/braccio per il solo endpoint primario; target pragmatico 50/braccio, 100 complessivi)</w:t>
            </w:r>
          </w:p>
        </w:tc>
        <w:tc>
          <w:tcPr>
            <w:tcW w:type="dxa" w:w="2353"/>
          </w:tcPr>
          <w:p>
            <w:pPr>
              <w:spacing w:after="40"/>
            </w:pPr>
            <w:r>
              <w:rPr>
                <w:sz w:val="19"/>
              </w:rPr>
            </w:r>
            <w:r>
              <w:rPr>
                <w:sz w:val="19"/>
              </w:rPr>
              <w:t>10</w:t>
            </w:r>
          </w:p>
        </w:tc>
        <w:tc>
          <w:tcPr>
            <w:tcW w:type="dxa" w:w="2353"/>
          </w:tcPr>
          <w:p>
            <w:pPr>
              <w:spacing w:after="40"/>
            </w:pPr>
            <w:r>
              <w:rPr>
                <w:sz w:val="19"/>
              </w:rPr>
            </w:r>
            <w:r>
              <w:rPr>
                <w:sz w:val="19"/>
              </w:rPr>
              <w:t>La varianza di una differenza fra due variazioni indipendenti è maggiore di quella di un confronto appaiato; il calcolo precedente (n=12) valeva solo per il disegno a braccio singolo</w:t>
            </w:r>
          </w:p>
        </w:tc>
      </w:tr>
      <w:tr>
        <w:tc>
          <w:tcPr>
            <w:tcW w:type="dxa" w:w="2353"/>
          </w:tcPr>
          <w:p>
            <w:pPr>
              <w:spacing w:after="40"/>
            </w:pPr>
            <w:r>
              <w:rPr>
                <w:sz w:val="19"/>
              </w:rPr>
            </w:r>
            <w:r>
              <w:rPr>
                <w:sz w:val="19"/>
              </w:rPr>
              <w:t>4</w:t>
            </w:r>
          </w:p>
        </w:tc>
        <w:tc>
          <w:tcPr>
            <w:tcW w:type="dxa" w:w="2353"/>
          </w:tcPr>
          <w:p>
            <w:pPr>
              <w:spacing w:after="40"/>
            </w:pPr>
            <w:r>
              <w:rPr>
                <w:sz w:val="19"/>
              </w:rPr>
            </w:r>
            <w:r>
              <w:rPr>
                <w:sz w:val="19"/>
              </w:rPr>
              <w:t xml:space="preserve">Analisi </w:t>
            </w:r>
            <w:r>
              <w:rPr>
                <w:i/>
                <w:sz w:val="19"/>
              </w:rPr>
              <w:t>responder</w:t>
            </w:r>
            <w:r>
              <w:rPr>
                <w:sz w:val="19"/>
              </w:rPr>
              <w:t xml:space="preserve"> (soglia ≥30% di riduzione relativa della fat fraction)</w:t>
            </w:r>
          </w:p>
        </w:tc>
        <w:tc>
          <w:tcPr>
            <w:tcW w:type="dxa" w:w="2353"/>
          </w:tcPr>
          <w:p>
            <w:pPr>
              <w:spacing w:after="40"/>
            </w:pPr>
            <w:r>
              <w:rPr>
                <w:sz w:val="19"/>
              </w:rPr>
            </w:r>
            <w:r>
              <w:rPr>
                <w:sz w:val="19"/>
              </w:rPr>
              <w:t>3.2, 9.2, 11</w:t>
            </w:r>
          </w:p>
        </w:tc>
        <w:tc>
          <w:tcPr>
            <w:tcW w:type="dxa" w:w="2353"/>
          </w:tcPr>
          <w:p>
            <w:pPr>
              <w:spacing w:after="40"/>
            </w:pPr>
            <w:r>
              <w:rPr>
                <w:sz w:val="19"/>
              </w:rPr>
            </w:r>
            <w:r>
              <w:rPr>
                <w:sz w:val="19"/>
              </w:rPr>
              <w:t>Ancora la significatività statistica a una soglia di rilevanza clinica storicamente associata a miglioramento istologico nella letteratura MRI-PDFF [8,9]; richiesto dal revisore clinico (C.1)</w:t>
            </w:r>
          </w:p>
        </w:tc>
      </w:tr>
      <w:tr>
        <w:tc>
          <w:tcPr>
            <w:tcW w:type="dxa" w:w="2353"/>
          </w:tcPr>
          <w:p>
            <w:pPr>
              <w:spacing w:after="40"/>
            </w:pPr>
            <w:r>
              <w:rPr>
                <w:sz w:val="19"/>
              </w:rPr>
            </w:r>
            <w:r>
              <w:rPr>
                <w:sz w:val="19"/>
              </w:rPr>
              <w:t>5</w:t>
            </w:r>
          </w:p>
        </w:tc>
        <w:tc>
          <w:tcPr>
            <w:tcW w:type="dxa" w:w="2353"/>
          </w:tcPr>
          <w:p>
            <w:pPr>
              <w:spacing w:after="40"/>
            </w:pPr>
            <w:r>
              <w:rPr>
                <w:sz w:val="19"/>
              </w:rPr>
            </w:r>
            <w:r>
              <w:rPr>
                <w:sz w:val="19"/>
              </w:rPr>
              <w:t>Stratificazione per fibrosi epatica basale (2D-SWE)</w:t>
            </w:r>
          </w:p>
        </w:tc>
        <w:tc>
          <w:tcPr>
            <w:tcW w:type="dxa" w:w="2353"/>
          </w:tcPr>
          <w:p>
            <w:pPr>
              <w:spacing w:after="40"/>
            </w:pPr>
            <w:r>
              <w:rPr>
                <w:sz w:val="19"/>
              </w:rPr>
            </w:r>
            <w:r>
              <w:rPr>
                <w:sz w:val="19"/>
              </w:rPr>
              <w:t>3.2</w:t>
            </w:r>
          </w:p>
        </w:tc>
        <w:tc>
          <w:tcPr>
            <w:tcW w:type="dxa" w:w="2353"/>
          </w:tcPr>
          <w:p>
            <w:pPr>
              <w:spacing w:after="40"/>
            </w:pPr>
            <w:r>
              <w:rPr>
                <w:sz w:val="19"/>
              </w:rPr>
            </w:r>
            <w:r>
              <w:rPr>
                <w:sz w:val="19"/>
              </w:rPr>
              <w:t>Previene la diluizione del segnale in una popolazione eterogenea per severità di malattia (C.1, revisore clinico)</w:t>
            </w:r>
          </w:p>
        </w:tc>
      </w:tr>
      <w:tr>
        <w:tc>
          <w:tcPr>
            <w:tcW w:type="dxa" w:w="2353"/>
          </w:tcPr>
          <w:p>
            <w:pPr>
              <w:spacing w:after="40"/>
            </w:pPr>
            <w:r>
              <w:rPr>
                <w:sz w:val="19"/>
              </w:rPr>
            </w:r>
            <w:r>
              <w:rPr>
                <w:sz w:val="19"/>
              </w:rPr>
              <w:t>6</w:t>
            </w:r>
          </w:p>
        </w:tc>
        <w:tc>
          <w:tcPr>
            <w:tcW w:type="dxa" w:w="2353"/>
          </w:tcPr>
          <w:p>
            <w:pPr>
              <w:spacing w:after="40"/>
            </w:pPr>
            <w:r>
              <w:rPr>
                <w:sz w:val="19"/>
              </w:rPr>
            </w:r>
            <w:r>
              <w:rPr>
                <w:sz w:val="19"/>
              </w:rPr>
              <w:t>Questionario validato di sintomi gastrointestinali</w:t>
            </w:r>
          </w:p>
        </w:tc>
        <w:tc>
          <w:tcPr>
            <w:tcW w:type="dxa" w:w="2353"/>
          </w:tcPr>
          <w:p>
            <w:pPr>
              <w:spacing w:after="40"/>
            </w:pPr>
            <w:r>
              <w:rPr>
                <w:sz w:val="19"/>
              </w:rPr>
            </w:r>
            <w:r>
              <w:rPr>
                <w:sz w:val="19"/>
              </w:rPr>
              <w:t>3.2, 7, 8.1, 13</w:t>
            </w:r>
          </w:p>
        </w:tc>
        <w:tc>
          <w:tcPr>
            <w:tcW w:type="dxa" w:w="2353"/>
          </w:tcPr>
          <w:p>
            <w:pPr>
              <w:spacing w:after="40"/>
            </w:pPr>
            <w:r>
              <w:rPr>
                <w:sz w:val="19"/>
              </w:rPr>
            </w:r>
            <w:r>
              <w:rPr>
                <w:sz w:val="19"/>
              </w:rPr>
              <w:t>Quantifica tollerabilità/QoL invece di affidarsi alla sola raccolta non strutturata di eventi avversi; atteso dalle riviste di fascia alta (C.1, revisore clinico)</w:t>
            </w:r>
          </w:p>
        </w:tc>
      </w:tr>
      <w:tr>
        <w:tc>
          <w:tcPr>
            <w:tcW w:type="dxa" w:w="2353"/>
          </w:tcPr>
          <w:p>
            <w:pPr>
              <w:spacing w:after="40"/>
            </w:pPr>
            <w:r>
              <w:rPr>
                <w:sz w:val="19"/>
              </w:rPr>
            </w:r>
            <w:r>
              <w:rPr>
                <w:sz w:val="19"/>
              </w:rPr>
              <w:t>7</w:t>
            </w:r>
          </w:p>
        </w:tc>
        <w:tc>
          <w:tcPr>
            <w:tcW w:type="dxa" w:w="2353"/>
          </w:tcPr>
          <w:p>
            <w:pPr>
              <w:spacing w:after="40"/>
            </w:pPr>
            <w:r>
              <w:rPr>
                <w:sz w:val="19"/>
              </w:rPr>
            </w:r>
            <w:r>
              <w:rPr>
                <w:sz w:val="19"/>
              </w:rPr>
              <w:t>Valutazione strutturata sistematica della colecisti a ogni time-point</w:t>
            </w:r>
          </w:p>
        </w:tc>
        <w:tc>
          <w:tcPr>
            <w:tcW w:type="dxa" w:w="2353"/>
          </w:tcPr>
          <w:p>
            <w:pPr>
              <w:spacing w:after="40"/>
            </w:pPr>
            <w:r>
              <w:rPr>
                <w:sz w:val="19"/>
              </w:rPr>
            </w:r>
            <w:r>
              <w:rPr>
                <w:sz w:val="19"/>
              </w:rPr>
              <w:t>3.2, 8.2, 13</w:t>
            </w:r>
          </w:p>
        </w:tc>
        <w:tc>
          <w:tcPr>
            <w:tcW w:type="dxa" w:w="2353"/>
          </w:tcPr>
          <w:p>
            <w:pPr>
              <w:spacing w:after="40"/>
            </w:pPr>
            <w:r>
              <w:rPr>
                <w:sz w:val="19"/>
              </w:rPr>
            </w:r>
            <w:r>
              <w:rPr>
                <w:sz w:val="19"/>
              </w:rPr>
              <w:t>Trasforma un reperto potenzialmente incidentale in un parametro di sicurezza sistematico, a costo aggiuntivo nullo (C.1, revisore clinico)</w:t>
            </w:r>
          </w:p>
        </w:tc>
      </w:tr>
      <w:tr>
        <w:tc>
          <w:tcPr>
            <w:tcW w:type="dxa" w:w="2353"/>
          </w:tcPr>
          <w:p>
            <w:pPr>
              <w:spacing w:after="40"/>
            </w:pPr>
            <w:r>
              <w:rPr>
                <w:sz w:val="19"/>
              </w:rPr>
            </w:r>
            <w:r>
              <w:rPr>
                <w:sz w:val="19"/>
              </w:rPr>
              <w:t>8</w:t>
            </w:r>
          </w:p>
        </w:tc>
        <w:tc>
          <w:tcPr>
            <w:tcW w:type="dxa" w:w="2353"/>
          </w:tcPr>
          <w:p>
            <w:pPr>
              <w:spacing w:after="40"/>
            </w:pPr>
            <w:r>
              <w:rPr>
                <w:sz w:val="19"/>
              </w:rPr>
            </w:r>
            <w:r>
              <w:rPr>
                <w:sz w:val="19"/>
              </w:rPr>
              <w:t>Analisi di sensitività per dati mancanti non-random (MNAR), oltre al modello MAR già previsto</w:t>
            </w:r>
          </w:p>
        </w:tc>
        <w:tc>
          <w:tcPr>
            <w:tcW w:type="dxa" w:w="2353"/>
          </w:tcPr>
          <w:p>
            <w:pPr>
              <w:spacing w:after="40"/>
            </w:pPr>
            <w:r>
              <w:rPr>
                <w:sz w:val="19"/>
              </w:rPr>
            </w:r>
            <w:r>
              <w:rPr>
                <w:sz w:val="19"/>
              </w:rPr>
              <w:t>11</w:t>
            </w:r>
          </w:p>
        </w:tc>
        <w:tc>
          <w:tcPr>
            <w:tcW w:type="dxa" w:w="2353"/>
          </w:tcPr>
          <w:p>
            <w:pPr>
              <w:spacing w:after="40"/>
            </w:pPr>
            <w:r>
              <w:rPr>
                <w:sz w:val="19"/>
              </w:rPr>
            </w:r>
            <w:r>
              <w:rPr>
                <w:sz w:val="19"/>
              </w:rPr>
              <w:t>I pazienti che interrompono per intolleranza gastrointestinale potrebbero avere una traiettoria epatica sistematicamente diversa; anticipa un'obiezione statistica quasi automatica in sede di revisione (C.1, revisore metodologo)</w:t>
            </w:r>
          </w:p>
        </w:tc>
      </w:tr>
      <w:tr>
        <w:tc>
          <w:tcPr>
            <w:tcW w:type="dxa" w:w="2353"/>
          </w:tcPr>
          <w:p>
            <w:pPr>
              <w:spacing w:after="40"/>
            </w:pPr>
            <w:r>
              <w:rPr>
                <w:sz w:val="19"/>
              </w:rPr>
            </w:r>
            <w:r>
              <w:rPr>
                <w:sz w:val="19"/>
              </w:rPr>
              <w:t>9</w:t>
            </w:r>
          </w:p>
        </w:tc>
        <w:tc>
          <w:tcPr>
            <w:tcW w:type="dxa" w:w="2353"/>
          </w:tcPr>
          <w:p>
            <w:pPr>
              <w:spacing w:after="40"/>
            </w:pPr>
            <w:r>
              <w:rPr>
                <w:sz w:val="19"/>
              </w:rPr>
            </w:r>
            <w:r>
              <w:rPr>
                <w:sz w:val="19"/>
              </w:rPr>
              <w:t>Sotto-studio traslazionale ancillare su biomarcatori liquidi (frazione di cfDNA epatocitario, trascrittomica ematica a basso costo)</w:t>
            </w:r>
          </w:p>
        </w:tc>
        <w:tc>
          <w:tcPr>
            <w:tcW w:type="dxa" w:w="2353"/>
          </w:tcPr>
          <w:p>
            <w:pPr>
              <w:spacing w:after="40"/>
            </w:pPr>
            <w:r>
              <w:rPr>
                <w:sz w:val="19"/>
              </w:rPr>
            </w:r>
            <w:r>
              <w:rPr>
                <w:sz w:val="19"/>
              </w:rPr>
              <w:t>3.4, 8.10, 9.4</w:t>
            </w:r>
          </w:p>
        </w:tc>
        <w:tc>
          <w:tcPr>
            <w:tcW w:type="dxa" w:w="2353"/>
          </w:tcPr>
          <w:p>
            <w:pPr>
              <w:spacing w:after="40"/>
            </w:pPr>
            <w:r>
              <w:rPr>
                <w:sz w:val="19"/>
              </w:rPr>
            </w:r>
            <w:r>
              <w:rPr>
                <w:sz w:val="19"/>
              </w:rPr>
              <w:t>Sfrutta a costo marginale nullo il prelievo ematico già previsto; principio dimostrato in altri contesti (Zoppoli, B.5-B.7) ma non ancora nella MASLD — dichiarato esplicitamente come prova di concetto, non validazione (D.1.b-d)</w:t>
            </w:r>
          </w:p>
        </w:tc>
      </w:tr>
      <w:tr>
        <w:tc>
          <w:tcPr>
            <w:tcW w:type="dxa" w:w="2353"/>
          </w:tcPr>
          <w:p>
            <w:pPr>
              <w:spacing w:after="40"/>
            </w:pPr>
            <w:r>
              <w:rPr>
                <w:sz w:val="19"/>
              </w:rPr>
            </w:r>
            <w:r>
              <w:rPr>
                <w:sz w:val="19"/>
              </w:rPr>
              <w:t>10</w:t>
            </w:r>
          </w:p>
        </w:tc>
        <w:tc>
          <w:tcPr>
            <w:tcW w:type="dxa" w:w="2353"/>
          </w:tcPr>
          <w:p>
            <w:pPr>
              <w:spacing w:after="40"/>
            </w:pPr>
            <w:r>
              <w:rPr>
                <w:sz w:val="19"/>
              </w:rPr>
            </w:r>
            <w:r>
              <w:rPr>
                <w:sz w:val="19"/>
              </w:rPr>
              <w:t>Registrazione prospettica su ClinicalTrials.gov e adozione delle linee guida STROBE</w:t>
            </w:r>
          </w:p>
        </w:tc>
        <w:tc>
          <w:tcPr>
            <w:tcW w:type="dxa" w:w="2353"/>
          </w:tcPr>
          <w:p>
            <w:pPr>
              <w:spacing w:after="40"/>
            </w:pPr>
            <w:r>
              <w:rPr>
                <w:sz w:val="19"/>
              </w:rPr>
            </w:r>
            <w:r>
              <w:rPr>
                <w:sz w:val="19"/>
              </w:rPr>
              <w:t>12</w:t>
            </w:r>
          </w:p>
        </w:tc>
        <w:tc>
          <w:tcPr>
            <w:tcW w:type="dxa" w:w="2353"/>
          </w:tcPr>
          <w:p>
            <w:pPr>
              <w:spacing w:after="40"/>
            </w:pPr>
            <w:r>
              <w:rPr>
                <w:sz w:val="19"/>
              </w:rPr>
            </w:r>
            <w:r>
              <w:rPr>
                <w:sz w:val="19"/>
              </w:rPr>
              <w:t>Allineamento alle aspettative di trasparenza delle riviste indicate nel mandato di revisione; assente nella v1.2 pur essendo già presente in CEUS-DETECT (C.1, revisore metodologo)</w:t>
            </w:r>
          </w:p>
        </w:tc>
      </w:tr>
      <w:tr>
        <w:tc>
          <w:tcPr>
            <w:tcW w:type="dxa" w:w="2353"/>
          </w:tcPr>
          <w:p>
            <w:pPr>
              <w:spacing w:after="40"/>
            </w:pPr>
            <w:r>
              <w:rPr>
                <w:sz w:val="19"/>
              </w:rPr>
            </w:r>
            <w:r>
              <w:rPr>
                <w:sz w:val="19"/>
              </w:rPr>
              <w:t>11</w:t>
            </w:r>
          </w:p>
        </w:tc>
        <w:tc>
          <w:tcPr>
            <w:tcW w:type="dxa" w:w="2353"/>
          </w:tcPr>
          <w:p>
            <w:pPr>
              <w:spacing w:after="40"/>
            </w:pPr>
            <w:r>
              <w:rPr>
                <w:sz w:val="19"/>
              </w:rPr>
            </w:r>
            <w:r>
              <w:rPr>
                <w:sz w:val="19"/>
              </w:rPr>
              <w:t>Aggiornamento bibliografico: linee guida WFUMB 2024 (elastografia e quantificazione del grasso), validazione istologica della SWD (iLEAD study), completamento dei riferimenti SURPASS-3/SYNERGY-NASH, correzione del gap lipidomico (Pirro 2022 sull'uomo in T2D generale, non MASLD-specifico)</w:t>
            </w:r>
          </w:p>
        </w:tc>
        <w:tc>
          <w:tcPr>
            <w:tcW w:type="dxa" w:w="2353"/>
          </w:tcPr>
          <w:p>
            <w:pPr>
              <w:spacing w:after="40"/>
            </w:pPr>
            <w:r>
              <w:rPr>
                <w:sz w:val="19"/>
              </w:rPr>
            </w:r>
            <w:r>
              <w:rPr>
                <w:sz w:val="19"/>
              </w:rPr>
              <w:t>1, 8.3-8.5, 17</w:t>
            </w:r>
          </w:p>
        </w:tc>
        <w:tc>
          <w:tcPr>
            <w:tcW w:type="dxa" w:w="2353"/>
          </w:tcPr>
          <w:p>
            <w:pPr>
              <w:spacing w:after="40"/>
            </w:pPr>
            <w:r>
              <w:rPr>
                <w:sz w:val="19"/>
              </w:rPr>
            </w:r>
            <w:r>
              <w:rPr>
                <w:sz w:val="19"/>
              </w:rPr>
              <w:t>La bibliografia della v1.2 era dichiaratamente incompleta ("da verificare"); la verifica bibliografica indipendente ha permesso di completarla e di correggere un'imprecisione (D.3)</w:t>
            </w:r>
          </w:p>
        </w:tc>
      </w:tr>
      <w:tr>
        <w:tc>
          <w:tcPr>
            <w:tcW w:type="dxa" w:w="2353"/>
          </w:tcPr>
          <w:p>
            <w:pPr>
              <w:spacing w:after="40"/>
            </w:pPr>
            <w:r>
              <w:rPr>
                <w:sz w:val="19"/>
              </w:rPr>
            </w:r>
            <w:r>
              <w:rPr>
                <w:sz w:val="19"/>
              </w:rPr>
              <w:t>12</w:t>
            </w:r>
          </w:p>
        </w:tc>
        <w:tc>
          <w:tcPr>
            <w:tcW w:type="dxa" w:w="2353"/>
          </w:tcPr>
          <w:p>
            <w:pPr>
              <w:spacing w:after="40"/>
            </w:pPr>
            <w:r>
              <w:rPr>
                <w:sz w:val="19"/>
              </w:rPr>
            </w:r>
            <w:r>
              <w:rPr>
                <w:sz w:val="19"/>
              </w:rPr>
              <w:t>Rimozione di due riferimenti della bibliografia originaria non confermabili con sufficiente certezza (terzo studio TriNetX non verificato; riferimento generico "Kang SH et al." su clusterina)</w:t>
            </w:r>
          </w:p>
        </w:tc>
        <w:tc>
          <w:tcPr>
            <w:tcW w:type="dxa" w:w="2353"/>
          </w:tcPr>
          <w:p>
            <w:pPr>
              <w:spacing w:after="40"/>
            </w:pPr>
            <w:r>
              <w:rPr>
                <w:sz w:val="19"/>
              </w:rPr>
            </w:r>
            <w:r>
              <w:rPr>
                <w:sz w:val="19"/>
              </w:rPr>
              <w:t>17</w:t>
            </w:r>
          </w:p>
        </w:tc>
        <w:tc>
          <w:tcPr>
            <w:tcW w:type="dxa" w:w="2353"/>
          </w:tcPr>
          <w:p>
            <w:pPr>
              <w:spacing w:after="40"/>
            </w:pPr>
            <w:r>
              <w:rPr>
                <w:sz w:val="19"/>
              </w:rPr>
            </w:r>
            <w:r>
              <w:rPr>
                <w:sz w:val="19"/>
              </w:rPr>
              <w:t>Onestà bibliografica: mantenere solo citazioni verificate, come richiesto dal mandato di revisione ("non inventare citazioni")</w:t>
            </w:r>
          </w:p>
        </w:tc>
      </w:tr>
    </w:tbl>
    <w:p>
      <w:pPr>
        <w:spacing w:after="40"/>
      </w:pPr>
    </w:p>
    <w:p>
      <w:pPr>
        <w:pStyle w:val="Heading2"/>
      </w:pPr>
      <w:r>
        <w:t>G.2 — CEUS-DETECT (v5.0 → v6.0)</w:t>
      </w:r>
    </w:p>
    <w:tbl>
      <w:tblPr>
        <w:tblStyle w:val="LightGrid-Accent1"/>
        <w:tblW w:type="auto" w:w="0"/>
        <w:jc w:val="center"/>
        <w:tblLook w:firstColumn="1" w:firstRow="1" w:lastColumn="0" w:lastRow="0" w:noHBand="0" w:noVBand="1" w:val="04A0"/>
      </w:tblPr>
      <w:tblGrid>
        <w:gridCol w:w="2353"/>
        <w:gridCol w:w="2353"/>
        <w:gridCol w:w="2353"/>
        <w:gridCol w:w="2353"/>
      </w:tblGrid>
      <w:tr>
        <w:tc>
          <w:tcPr>
            <w:tcW w:type="dxa" w:w="2353"/>
          </w:tcPr>
          <w:p>
            <w:pPr>
              <w:spacing w:after="40"/>
            </w:pPr>
            <w:r>
              <w:rPr>
                <w:b/>
                <w:sz w:val="19"/>
              </w:rPr>
            </w:r>
            <w:r>
              <w:rPr>
                <w:b/>
                <w:sz w:val="19"/>
              </w:rPr>
              <w:t>#</w:t>
            </w:r>
          </w:p>
        </w:tc>
        <w:tc>
          <w:tcPr>
            <w:tcW w:type="dxa" w:w="2353"/>
          </w:tcPr>
          <w:p>
            <w:pPr>
              <w:spacing w:after="40"/>
            </w:pPr>
            <w:r>
              <w:rPr>
                <w:b/>
                <w:sz w:val="19"/>
              </w:rPr>
            </w:r>
            <w:r>
              <w:rPr>
                <w:b/>
                <w:sz w:val="19"/>
              </w:rPr>
              <w:t>Modifica</w:t>
            </w:r>
          </w:p>
        </w:tc>
        <w:tc>
          <w:tcPr>
            <w:tcW w:type="dxa" w:w="2353"/>
          </w:tcPr>
          <w:p>
            <w:pPr>
              <w:spacing w:after="40"/>
            </w:pPr>
            <w:r>
              <w:rPr>
                <w:b/>
                <w:sz w:val="19"/>
              </w:rPr>
            </w:r>
            <w:r>
              <w:rPr>
                <w:b/>
                <w:sz w:val="19"/>
              </w:rPr>
              <w:t>Sezione</w:t>
            </w:r>
          </w:p>
        </w:tc>
        <w:tc>
          <w:tcPr>
            <w:tcW w:type="dxa" w:w="2353"/>
          </w:tcPr>
          <w:p>
            <w:pPr>
              <w:spacing w:after="40"/>
            </w:pPr>
            <w:r>
              <w:rPr>
                <w:b/>
                <w:sz w:val="19"/>
              </w:rPr>
            </w:r>
            <w:r>
              <w:rPr>
                <w:b/>
                <w:sz w:val="19"/>
              </w:rPr>
              <w:t>Motivazione scientifica</w:t>
            </w:r>
          </w:p>
        </w:tc>
      </w:tr>
      <w:tr>
        <w:tc>
          <w:tcPr>
            <w:tcW w:type="dxa" w:w="2353"/>
          </w:tcPr>
          <w:p>
            <w:pPr>
              <w:spacing w:after="40"/>
            </w:pPr>
            <w:r>
              <w:rPr>
                <w:sz w:val="19"/>
              </w:rPr>
            </w:r>
            <w:r>
              <w:rPr>
                <w:sz w:val="19"/>
              </w:rPr>
              <w:t>1</w:t>
            </w:r>
          </w:p>
        </w:tc>
        <w:tc>
          <w:tcPr>
            <w:tcW w:type="dxa" w:w="2353"/>
          </w:tcPr>
          <w:p>
            <w:pPr>
              <w:spacing w:after="40"/>
            </w:pPr>
            <w:r>
              <w:rPr>
                <w:sz w:val="19"/>
              </w:rPr>
            </w:r>
            <w:r>
              <w:rPr>
                <w:sz w:val="19"/>
              </w:rPr>
              <w:t>Correzione della citazione Sawatzki et al. (pagine 419–427, non 281–288)</w:t>
            </w:r>
          </w:p>
        </w:tc>
        <w:tc>
          <w:tcPr>
            <w:tcW w:type="dxa" w:w="2353"/>
          </w:tcPr>
          <w:p>
            <w:pPr>
              <w:spacing w:after="40"/>
            </w:pPr>
            <w:r>
              <w:rPr>
                <w:sz w:val="19"/>
              </w:rPr>
            </w:r>
            <w:r>
              <w:rPr>
                <w:sz w:val="19"/>
              </w:rPr>
              <w:t>1.5, bibliografia [2]</w:t>
            </w:r>
          </w:p>
        </w:tc>
        <w:tc>
          <w:tcPr>
            <w:tcW w:type="dxa" w:w="2353"/>
          </w:tcPr>
          <w:p>
            <w:pPr>
              <w:spacing w:after="40"/>
            </w:pPr>
            <w:r>
              <w:rPr>
                <w:sz w:val="19"/>
              </w:rPr>
            </w:r>
            <w:r>
              <w:rPr>
                <w:sz w:val="19"/>
              </w:rPr>
              <w:t>Errore di citazione identificato dalla verifica bibliografica indipendente; il contenuto sostanziale citato nel testo era corretto, solo la paginazione era errata</w:t>
            </w:r>
          </w:p>
        </w:tc>
      </w:tr>
      <w:tr>
        <w:tc>
          <w:tcPr>
            <w:tcW w:type="dxa" w:w="2353"/>
          </w:tcPr>
          <w:p>
            <w:pPr>
              <w:spacing w:after="40"/>
            </w:pPr>
            <w:r>
              <w:rPr>
                <w:sz w:val="19"/>
              </w:rPr>
            </w:r>
            <w:r>
              <w:rPr>
                <w:sz w:val="19"/>
              </w:rPr>
              <w:t>2</w:t>
            </w:r>
          </w:p>
        </w:tc>
        <w:tc>
          <w:tcPr>
            <w:tcW w:type="dxa" w:w="2353"/>
          </w:tcPr>
          <w:p>
            <w:pPr>
              <w:spacing w:after="40"/>
            </w:pPr>
            <w:r>
              <w:rPr>
                <w:sz w:val="19"/>
              </w:rPr>
            </w:r>
            <w:r>
              <w:rPr>
                <w:sz w:val="19"/>
              </w:rPr>
              <w:t>Incremental detection rate "azionabile" come endpoint secondario dedicato</w:t>
            </w:r>
          </w:p>
        </w:tc>
        <w:tc>
          <w:tcPr>
            <w:tcW w:type="dxa" w:w="2353"/>
          </w:tcPr>
          <w:p>
            <w:pPr>
              <w:spacing w:after="40"/>
            </w:pPr>
            <w:r>
              <w:rPr>
                <w:sz w:val="19"/>
              </w:rPr>
            </w:r>
            <w:r>
              <w:rPr>
                <w:sz w:val="19"/>
              </w:rPr>
              <w:t>2.2</w:t>
            </w:r>
          </w:p>
        </w:tc>
        <w:tc>
          <w:tcPr>
            <w:tcW w:type="dxa" w:w="2353"/>
          </w:tcPr>
          <w:p>
            <w:pPr>
              <w:spacing w:after="40"/>
            </w:pPr>
            <w:r>
              <w:rPr>
                <w:sz w:val="19"/>
              </w:rPr>
            </w:r>
            <w:r>
              <w:rPr>
                <w:sz w:val="19"/>
              </w:rPr>
              <w:t>Previene che l'endpoint primario grezzo sia trainato da reperti di rilevanza clinica marginale (lesioni troppo piccole per motivare una decisione terapeutica) — richiesto dal revisore clinico (C.2)</w:t>
            </w:r>
          </w:p>
        </w:tc>
      </w:tr>
      <w:tr>
        <w:tc>
          <w:tcPr>
            <w:tcW w:type="dxa" w:w="2353"/>
          </w:tcPr>
          <w:p>
            <w:pPr>
              <w:spacing w:after="40"/>
            </w:pPr>
            <w:r>
              <w:rPr>
                <w:sz w:val="19"/>
              </w:rPr>
            </w:r>
            <w:r>
              <w:rPr>
                <w:sz w:val="19"/>
              </w:rPr>
              <w:t>3</w:t>
            </w:r>
          </w:p>
        </w:tc>
        <w:tc>
          <w:tcPr>
            <w:tcW w:type="dxa" w:w="2353"/>
          </w:tcPr>
          <w:p>
            <w:pPr>
              <w:spacing w:after="40"/>
            </w:pPr>
            <w:r>
              <w:rPr>
                <w:sz w:val="19"/>
              </w:rPr>
            </w:r>
            <w:r>
              <w:rPr>
                <w:sz w:val="19"/>
              </w:rPr>
              <w:t>Analisi separata di qualità/interpretabilità per il sottogruppo pancreatico-biliare, con registrazione dello stato chirurgico pregresso</w:t>
            </w:r>
          </w:p>
        </w:tc>
        <w:tc>
          <w:tcPr>
            <w:tcW w:type="dxa" w:w="2353"/>
          </w:tcPr>
          <w:p>
            <w:pPr>
              <w:spacing w:after="40"/>
            </w:pPr>
            <w:r>
              <w:rPr>
                <w:sz w:val="19"/>
              </w:rPr>
            </w:r>
            <w:r>
              <w:rPr>
                <w:sz w:val="19"/>
              </w:rPr>
              <w:t>4.5</w:t>
            </w:r>
          </w:p>
        </w:tc>
        <w:tc>
          <w:tcPr>
            <w:tcW w:type="dxa" w:w="2353"/>
          </w:tcPr>
          <w:p>
            <w:pPr>
              <w:spacing w:after="40"/>
            </w:pPr>
            <w:r>
              <w:rPr>
                <w:sz w:val="19"/>
              </w:rPr>
            </w:r>
            <w:r>
              <w:rPr>
                <w:sz w:val="19"/>
              </w:rPr>
              <w:t>La letteratura (assenza di studi AI su CEUS pancreatica transaddominale) e un dato diretto di segmentazione d'organo (Jaccard &lt;60% sul pancreas, il peggiore fra gli organi testati) suggeriscono una performance strutturalmente diversa in questo sottogruppo (C.2, revisore clinico; B.3)</w:t>
            </w:r>
          </w:p>
        </w:tc>
      </w:tr>
      <w:tr>
        <w:tc>
          <w:tcPr>
            <w:tcW w:type="dxa" w:w="2353"/>
          </w:tcPr>
          <w:p>
            <w:pPr>
              <w:spacing w:after="40"/>
            </w:pPr>
            <w:r>
              <w:rPr>
                <w:sz w:val="19"/>
              </w:rPr>
            </w:r>
            <w:r>
              <w:rPr>
                <w:sz w:val="19"/>
              </w:rPr>
              <w:t>4</w:t>
            </w:r>
          </w:p>
        </w:tc>
        <w:tc>
          <w:tcPr>
            <w:tcW w:type="dxa" w:w="2353"/>
          </w:tcPr>
          <w:p>
            <w:pPr>
              <w:spacing w:after="40"/>
            </w:pPr>
            <w:r>
              <w:rPr>
                <w:sz w:val="19"/>
              </w:rPr>
            </w:r>
            <w:r>
              <w:rPr>
                <w:sz w:val="19"/>
              </w:rPr>
              <w:t>Annotazione strutturata minima obbligatoria nel CRF (sede, dimensione, sezione, modalità di conferma diagnostica, operatore, ecografo/sonda)</w:t>
            </w:r>
          </w:p>
        </w:tc>
        <w:tc>
          <w:tcPr>
            <w:tcW w:type="dxa" w:w="2353"/>
          </w:tcPr>
          <w:p>
            <w:pPr>
              <w:spacing w:after="40"/>
            </w:pPr>
            <w:r>
              <w:rPr>
                <w:sz w:val="19"/>
              </w:rPr>
            </w:r>
            <w:r>
              <w:rPr>
                <w:sz w:val="19"/>
              </w:rPr>
              <w:t>6.7.1</w:t>
            </w:r>
          </w:p>
        </w:tc>
        <w:tc>
          <w:tcPr>
            <w:tcW w:type="dxa" w:w="2353"/>
          </w:tcPr>
          <w:p>
            <w:pPr>
              <w:spacing w:after="40"/>
            </w:pPr>
            <w:r>
              <w:rPr>
                <w:sz w:val="19"/>
              </w:rPr>
            </w:r>
            <w:r>
              <w:rPr>
                <w:sz w:val="19"/>
              </w:rPr>
              <w:t>Rende l'archivio riutilizzabile per analisi future a costo di implementazione marginale, dato che il dato clinico esiste già nel referto (D.2.b)</w:t>
            </w:r>
          </w:p>
        </w:tc>
      </w:tr>
      <w:tr>
        <w:tc>
          <w:tcPr>
            <w:tcW w:type="dxa" w:w="2353"/>
          </w:tcPr>
          <w:p>
            <w:pPr>
              <w:spacing w:after="40"/>
            </w:pPr>
            <w:r>
              <w:rPr>
                <w:sz w:val="19"/>
              </w:rPr>
            </w:r>
            <w:r>
              <w:rPr>
                <w:sz w:val="19"/>
              </w:rPr>
              <w:t>5</w:t>
            </w:r>
          </w:p>
        </w:tc>
        <w:tc>
          <w:tcPr>
            <w:tcW w:type="dxa" w:w="2353"/>
          </w:tcPr>
          <w:p>
            <w:pPr>
              <w:spacing w:after="40"/>
            </w:pPr>
            <w:r>
              <w:rPr>
                <w:sz w:val="19"/>
              </w:rPr>
            </w:r>
            <w:r>
              <w:rPr>
                <w:sz w:val="19"/>
              </w:rPr>
              <w:t>Sotto-studio ancillare CEUS-DETECT-AI: detection/localizzazione assistita da intelligenza artificiale sui filmati archiviati, con split per paziente, validazione esterna su centro genuinamente escluso, reporting STARD-AI</w:t>
            </w:r>
          </w:p>
        </w:tc>
        <w:tc>
          <w:tcPr>
            <w:tcW w:type="dxa" w:w="2353"/>
          </w:tcPr>
          <w:p>
            <w:pPr>
              <w:spacing w:after="40"/>
            </w:pPr>
            <w:r>
              <w:rPr>
                <w:sz w:val="19"/>
              </w:rPr>
            </w:r>
            <w:r>
              <w:rPr>
                <w:sz w:val="19"/>
              </w:rPr>
              <w:t>6.7.2</w:t>
            </w:r>
          </w:p>
        </w:tc>
        <w:tc>
          <w:tcPr>
            <w:tcW w:type="dxa" w:w="2353"/>
          </w:tcPr>
          <w:p>
            <w:pPr>
              <w:spacing w:after="40"/>
            </w:pPr>
            <w:r>
              <w:rPr>
                <w:sz w:val="19"/>
              </w:rPr>
            </w:r>
            <w:r>
              <w:rPr>
                <w:sz w:val="19"/>
              </w:rPr>
              <w:t>Il protocollo genera già, come sottoprodotto, il dataset annotato multicentrico che questo compito richiede; trasforma lo studio da "buon studio di accuratezza diagnostica" a infrastruttura traslazionale (C.2, revisore editor; D.2.a)</w:t>
            </w:r>
          </w:p>
        </w:tc>
      </w:tr>
      <w:tr>
        <w:tc>
          <w:tcPr>
            <w:tcW w:type="dxa" w:w="2353"/>
          </w:tcPr>
          <w:p>
            <w:pPr>
              <w:spacing w:after="40"/>
            </w:pPr>
            <w:r>
              <w:rPr>
                <w:sz w:val="19"/>
              </w:rPr>
            </w:r>
            <w:r>
              <w:rPr>
                <w:sz w:val="19"/>
              </w:rPr>
              <w:t>6</w:t>
            </w:r>
          </w:p>
        </w:tc>
        <w:tc>
          <w:tcPr>
            <w:tcW w:type="dxa" w:w="2353"/>
          </w:tcPr>
          <w:p>
            <w:pPr>
              <w:spacing w:after="40"/>
            </w:pPr>
            <w:r>
              <w:rPr>
                <w:sz w:val="19"/>
              </w:rPr>
            </w:r>
            <w:r>
              <w:rPr>
                <w:sz w:val="19"/>
              </w:rPr>
              <w:t>Percorso etico-autorizzativo per il sotto-studio AI aperto dal mese 1, in parallelo allo studio principale</w:t>
            </w:r>
          </w:p>
        </w:tc>
        <w:tc>
          <w:tcPr>
            <w:tcW w:type="dxa" w:w="2353"/>
          </w:tcPr>
          <w:p>
            <w:pPr>
              <w:spacing w:after="40"/>
            </w:pPr>
            <w:r>
              <w:rPr>
                <w:sz w:val="19"/>
              </w:rPr>
            </w:r>
            <w:r>
              <w:rPr>
                <w:sz w:val="19"/>
              </w:rPr>
              <w:t>6.7.2, 11.8, 13</w:t>
            </w:r>
          </w:p>
        </w:tc>
        <w:tc>
          <w:tcPr>
            <w:tcW w:type="dxa" w:w="2353"/>
          </w:tcPr>
          <w:p>
            <w:pPr>
              <w:spacing w:after="40"/>
            </w:pPr>
            <w:r>
              <w:rPr>
                <w:sz w:val="19"/>
              </w:rPr>
            </w:r>
            <w:r>
              <w:rPr>
                <w:sz w:val="19"/>
              </w:rPr>
              <w:t>Il collo di bottiglia per questo tipo di sotto-studio è tipicamente autorizzativo (mesi), non tecnico; va aperto prima che il modello esista (B.9)</w:t>
            </w:r>
          </w:p>
        </w:tc>
      </w:tr>
      <w:tr>
        <w:tc>
          <w:tcPr>
            <w:tcW w:type="dxa" w:w="2353"/>
          </w:tcPr>
          <w:p>
            <w:pPr>
              <w:spacing w:after="40"/>
            </w:pPr>
            <w:r>
              <w:rPr>
                <w:sz w:val="19"/>
              </w:rPr>
            </w:r>
            <w:r>
              <w:rPr>
                <w:sz w:val="19"/>
              </w:rPr>
              <w:t>7</w:t>
            </w:r>
          </w:p>
        </w:tc>
        <w:tc>
          <w:tcPr>
            <w:tcW w:type="dxa" w:w="2353"/>
          </w:tcPr>
          <w:p>
            <w:pPr>
              <w:spacing w:after="40"/>
            </w:pPr>
            <w:r>
              <w:rPr>
                <w:sz w:val="19"/>
              </w:rPr>
            </w:r>
            <w:r>
              <w:rPr>
                <w:sz w:val="19"/>
              </w:rPr>
              <w:t>Blinded sample size re-estimation dopo 80-100 pazienti prospettici, oltre al checkpoint già previsto a fine fase retrospettiva</w:t>
            </w:r>
          </w:p>
        </w:tc>
        <w:tc>
          <w:tcPr>
            <w:tcW w:type="dxa" w:w="2353"/>
          </w:tcPr>
          <w:p>
            <w:pPr>
              <w:spacing w:after="40"/>
            </w:pPr>
            <w:r>
              <w:rPr>
                <w:sz w:val="19"/>
              </w:rPr>
            </w:r>
            <w:r>
              <w:rPr>
                <w:sz w:val="19"/>
              </w:rPr>
              <w:t>8.4</w:t>
            </w:r>
          </w:p>
        </w:tc>
        <w:tc>
          <w:tcPr>
            <w:tcW w:type="dxa" w:w="2353"/>
          </w:tcPr>
          <w:p>
            <w:pPr>
              <w:spacing w:after="40"/>
            </w:pPr>
            <w:r>
              <w:rPr>
                <w:sz w:val="19"/>
              </w:rPr>
            </w:r>
            <w:r>
              <w:rPr>
                <w:sz w:val="19"/>
              </w:rPr>
              <w:t>Il tasso atteso (5-8%) è estrapolato da un contesto clinico diverso (stadiazione iniziale, non sorveglianza longitudinale); un secondo checkpoint precoce permette di correggere la rotta senza attendere la fine di uno studio di 19 mesi (C.2, revisore metodologo)</w:t>
            </w:r>
          </w:p>
        </w:tc>
      </w:tr>
      <w:tr>
        <w:tc>
          <w:tcPr>
            <w:tcW w:type="dxa" w:w="2353"/>
          </w:tcPr>
          <w:p>
            <w:pPr>
              <w:spacing w:after="40"/>
            </w:pPr>
            <w:r>
              <w:rPr>
                <w:sz w:val="19"/>
              </w:rPr>
            </w:r>
            <w:r>
              <w:rPr>
                <w:sz w:val="19"/>
              </w:rPr>
              <w:t>8</w:t>
            </w:r>
          </w:p>
        </w:tc>
        <w:tc>
          <w:tcPr>
            <w:tcW w:type="dxa" w:w="2353"/>
          </w:tcPr>
          <w:p>
            <w:pPr>
              <w:spacing w:after="40"/>
            </w:pPr>
            <w:r>
              <w:rPr>
                <w:sz w:val="19"/>
              </w:rPr>
            </w:r>
            <w:r>
              <w:rPr>
                <w:sz w:val="19"/>
              </w:rPr>
              <w:t>Analisi di sensitività con correzione FDR (Benjamini-Hochberg) per i cinque assi di sottogruppo, in aggiunta alle analisi non corrette già previste</w:t>
            </w:r>
          </w:p>
        </w:tc>
        <w:tc>
          <w:tcPr>
            <w:tcW w:type="dxa" w:w="2353"/>
          </w:tcPr>
          <w:p>
            <w:pPr>
              <w:spacing w:after="40"/>
            </w:pPr>
            <w:r>
              <w:rPr>
                <w:sz w:val="19"/>
              </w:rPr>
            </w:r>
            <w:r>
              <w:rPr>
                <w:sz w:val="19"/>
              </w:rPr>
              <w:t>9.9</w:t>
            </w:r>
          </w:p>
        </w:tc>
        <w:tc>
          <w:tcPr>
            <w:tcW w:type="dxa" w:w="2353"/>
          </w:tcPr>
          <w:p>
            <w:pPr>
              <w:spacing w:after="40"/>
            </w:pPr>
            <w:r>
              <w:rPr>
                <w:sz w:val="19"/>
              </w:rPr>
            </w:r>
            <w:r>
              <w:rPr>
                <w:sz w:val="19"/>
              </w:rPr>
              <w:t>Anticipa un'obiezione comune in sede di revisione paritaria sulla molteplicità dei confronti esplorativi, senza alterare l'analisi primaria dichiarata (C.2, revisore metodologo)</w:t>
            </w:r>
          </w:p>
        </w:tc>
      </w:tr>
      <w:tr>
        <w:tc>
          <w:tcPr>
            <w:tcW w:type="dxa" w:w="2353"/>
          </w:tcPr>
          <w:p>
            <w:pPr>
              <w:spacing w:after="40"/>
            </w:pPr>
            <w:r>
              <w:rPr>
                <w:sz w:val="19"/>
              </w:rPr>
            </w:r>
            <w:r>
              <w:rPr>
                <w:sz w:val="19"/>
              </w:rPr>
              <w:t>9</w:t>
            </w:r>
          </w:p>
        </w:tc>
        <w:tc>
          <w:tcPr>
            <w:tcW w:type="dxa" w:w="2353"/>
          </w:tcPr>
          <w:p>
            <w:pPr>
              <w:spacing w:after="40"/>
            </w:pPr>
            <w:r>
              <w:rPr>
                <w:sz w:val="19"/>
              </w:rPr>
            </w:r>
            <w:r>
              <w:rPr>
                <w:sz w:val="19"/>
              </w:rPr>
              <w:t>Aggiornamento bibliografico: aggiunta di STARD-AI (Sounderajah et al., Nat Med 2025) e della letteratura su AI in imaging pancreatico</w:t>
            </w:r>
          </w:p>
        </w:tc>
        <w:tc>
          <w:tcPr>
            <w:tcW w:type="dxa" w:w="2353"/>
          </w:tcPr>
          <w:p>
            <w:pPr>
              <w:spacing w:after="40"/>
            </w:pPr>
            <w:r>
              <w:rPr>
                <w:sz w:val="19"/>
              </w:rPr>
            </w:r>
            <w:r>
              <w:rPr>
                <w:sz w:val="19"/>
              </w:rPr>
              <w:t>1.5, bibliografia [9-13]</w:t>
            </w:r>
          </w:p>
        </w:tc>
        <w:tc>
          <w:tcPr>
            <w:tcW w:type="dxa" w:w="2353"/>
          </w:tcPr>
          <w:p>
            <w:pPr>
              <w:spacing w:after="40"/>
            </w:pPr>
            <w:r>
              <w:rPr>
                <w:sz w:val="19"/>
              </w:rPr>
            </w:r>
            <w:r>
              <w:rPr>
                <w:sz w:val="19"/>
              </w:rPr>
              <w:t>Pubblicazione molto recente e direttamente pertinente al nuovo sotto-studio AI, non esistente al momento della stesura della v5</w:t>
            </w:r>
          </w:p>
        </w:tc>
      </w:tr>
    </w:tbl>
    <w:p>
      <w:pPr>
        <w:spacing w:after="40"/>
      </w:pPr>
    </w:p>
    <w:p>
      <w:pPr>
        <w:pStyle w:val="Heading1"/>
      </w:pPr>
      <w:r>
        <w:t>Parte H — Analisi di originalità</w:t>
      </w:r>
    </w:p>
    <w:p>
      <w:pPr>
        <w:pStyle w:val="Heading2"/>
      </w:pPr>
      <w:r>
        <w:t>H.1 — TIRZEPATIDE-MASLD</w:t>
      </w:r>
    </w:p>
    <w:p>
      <w:r>
        <w:rPr>
          <w:b/>
        </w:rPr>
        <w:t>Cosa è realmente nuovo.</w:t>
      </w:r>
      <w:r>
        <w:t xml:space="preserve"> L'uso di tecniche ecografiche quantitative multiparametriche (2D-SWE, TAI/TSI, SWD) come biomarcatore di risposta longitudinale specificamente alla tirzepatide: la verifica bibliografica indipendente condotta per questa revisione non ha reperito alcuno studio pubblicato che lo faccia. Questa è la rivendicazione di originalità più solida del protocollo — più solida della componente vascolare esplorativa e della componente traslazionale, entrambe interessanti ma meno uniche nel panorama della letteratura.</w:t>
      </w:r>
    </w:p>
    <w:p>
      <w:r>
        <w:rPr>
          <w:b/>
        </w:rPr>
        <w:t>Cosa è già noto.</w:t>
      </w:r>
      <w:r>
        <w:t xml:space="preserve"> Che la tirzepatide riduca il contenuto di grasso epatico è un fatto consolidato da evidenza di alto livello (RCT di fase 2 e sottostudio di fase 3, entrambi verificati in questa revisione). Che gli agonisti GLP-1 abbiano un possibile effetto vascolare periferico favorevole è un segnale emergente da dati osservazionali retrospettivi, non un fatto stabilito.</w:t>
      </w:r>
    </w:p>
    <w:p>
      <w:r>
        <w:rPr>
          <w:b/>
        </w:rPr>
        <w:t>Cosa potrebbe essere contestato dai revisori.</w:t>
      </w:r>
      <w:r>
        <w:t xml:space="preserve"> Il disegno resta osservazionale con coorte di confronto non randomizzata, non un RCT — un revisore esigente potrà sempre obiettare che il confondimento residuo non è escludibile. La numerosità è calcolata su un'assunzione di effetto estrapolata da MRI, non da dati diretti. Il sotto-studio traslazionale è, per ammissione esplicita di questa stessa revisione, privo di validazione diretta nel contesto specifico.</w:t>
      </w:r>
    </w:p>
    <w:p>
      <w:r>
        <w:rPr>
          <w:b/>
        </w:rPr>
        <w:t>Cosa potrebbe convincerli.</w:t>
      </w:r>
      <w:r>
        <w:t xml:space="preserve"> La trasparenza metodologica (limiti dichiarati esplicitamente, non nascosti), l'aggiunta della coorte di confronto e del propensity score, l'analisi responder ancorata a una soglia clinicamente motivata, e — soprattutto — la dimostrazione, con verifica bibliografica indipendente e non autoreferenziale, che nessuno studio precedente ha validato l'ecografia quantitativa in questo esatto contesto farmacologico.</w:t>
      </w:r>
    </w:p>
    <w:p>
      <w:pPr>
        <w:pStyle w:val="Heading2"/>
      </w:pPr>
      <w:r>
        <w:t>H.2 — CEUS-DETECT</w:t>
      </w:r>
    </w:p>
    <w:p>
      <w:r>
        <w:rPr>
          <w:b/>
        </w:rPr>
        <w:t>Cosa è realmente nuovo.</w:t>
      </w:r>
      <w:r>
        <w:t xml:space="preserve"> Il contesto della sorveglianza longitudinale (imaging di riferimento già documentato negativo, non stadiazione iniziale) come oggetto di studio sistematico per la resa incrementale della CEUS — gli stessi autori della v5 lo dichiarano esplicitamente non ancora studiato, e la verifica bibliografica indipendente lo conferma. Il sotto-studio CEUS-DETECT-AI aggiunto in questa revisione è, nella letteratura verificata, il primo caso reperito di applicazione di intelligenza artificiale a CEUS in questo specifico contesto di sorveglianza multicentrica.</w:t>
      </w:r>
    </w:p>
    <w:p>
      <w:r>
        <w:rPr>
          <w:b/>
        </w:rPr>
        <w:t>Cosa è già noto.</w:t>
      </w:r>
      <w:r>
        <w:t xml:space="preserve"> Che la CEUS abbia una buona accuratezza diagnostica per le metastasi epatiche nella caratterizzazione di lesioni note e nella stadiazione iniziale del carcinoma colorettale è consolidato da più studi indipendenti (Piscaglia 2007, Rafaelsen 2011, Sawatzki 2021, meta-analisi 2024).</w:t>
      </w:r>
    </w:p>
    <w:p>
      <w:r>
        <w:rPr>
          <w:b/>
        </w:rPr>
        <w:t>Cosa potrebbe essere contestato dai revisori.</w:t>
      </w:r>
      <w:r>
        <w:t xml:space="preserve"> Il tasso di detection incrementale atteso (5-8%) resta un'estrapolazione da un contesto clinico diverso; il reference standard composito (TC/RM non equivalenti) è una soluzione pragmatica, non ideale; la lettura CEUS non è mascherata rispetto al contesto clinico.</w:t>
      </w:r>
    </w:p>
    <w:p>
      <w:r>
        <w:rPr>
          <w:b/>
        </w:rPr>
        <w:t>Cosa potrebbe convincerli.</w:t>
      </w:r>
      <w:r>
        <w:t xml:space="preserve"> Il livello di rigore metodologico già presente nella v5 (raro anche in letteratura pubblicata) — gestione del verification bias secondo Begg-Greenes, algoritmo prespecificato di classificazione dei casi, reporting STARD 2015, molteplici analisi di sensitività prespecificate — unito, in questa revisione, a un secondo checkpoint di sample size re-estimation e a un'infrastruttura traslazionale (CEUS-DETECT-AI) che sfrutta senza costi aggiuntivi ciò che lo studio già raccoglie.</w:t>
      </w:r>
    </w:p>
    <w:p>
      <w:pPr>
        <w:pStyle w:val="Heading1"/>
      </w:pPr>
      <w:r>
        <w:t>Parte J — Problemi ancora aperti</w:t>
      </w:r>
    </w:p>
    <w:p>
      <w:r>
        <w:t>Anche dopo questa revisione, restano aperti i seguenti problemi, che non è possibile risolvere sulla carta e che richiedono decisioni operative da parte del team di ricerca:</w:t>
      </w:r>
    </w:p>
    <w:p>
      <w:pPr>
        <w:pStyle w:val="ListNumber"/>
      </w:pPr>
      <w:r>
        <w:rPr>
          <w:b/>
        </w:rPr>
        <w:t>Identificazione nominativa della struttura/dei servizi prescrittori</w:t>
      </w:r>
      <w:r>
        <w:t xml:space="preserve"> per il percorso di invio, in entrambi i protocolli — placeholder amministrativo non risolvibile in fase di revisione metodologica.</w:t>
      </w:r>
    </w:p>
    <w:p>
      <w:pPr>
        <w:pStyle w:val="ListNumber"/>
      </w:pPr>
      <w:r>
        <w:rPr>
          <w:b/>
        </w:rPr>
        <w:t>Feasibility reale della coorte di confronto</w:t>
      </w:r>
      <w:r>
        <w:t xml:space="preserve"> nel protocollo TIRZEPATIDE-MASLD: non è garantito che il Programma di Ecografia di Bologna veda, nello stesso periodo, un numero sufficiente di pazienti con MASLD comparabile non candidati a terapia incretino-mimetica; questo va verificato con un conteggio retrospettivo dei pazienti afferenti negli ultimi 12-24 mesi prima di consolidare il target di 50 pazienti/braccio.</w:t>
      </w:r>
    </w:p>
    <w:p>
      <w:pPr>
        <w:pStyle w:val="ListNumber"/>
      </w:pPr>
      <w:r>
        <w:rPr>
          <w:b/>
        </w:rPr>
        <w:t>Validazione tecnica diretta della fat fraction ecografica (TAI/TSI) contro MRI-PDFF nella popolazione target</w:t>
      </w:r>
      <w:r>
        <w:t>, non ancora disponibile: il calcolo campionario resta un'estrapolazione da dati di risonanza magnetica anche dopo questa revisione.</w:t>
      </w:r>
    </w:p>
    <w:p>
      <w:pPr>
        <w:pStyle w:val="ListNumber"/>
      </w:pPr>
      <w:r>
        <w:rPr>
          <w:b/>
        </w:rPr>
        <w:t>Standardizzazione multi-vendor</w:t>
      </w:r>
      <w:r>
        <w:t xml:space="preserve"> di TAI/TSI/SWD: gli algoritmi sono specifici del produttore dell'ecografo; se lo studio TIRZEPATIDE-MASLD dovesse in futuro espandersi a più centri, questo diventerebbe un problema centrale, non ancora affrontato.</w:t>
      </w:r>
    </w:p>
    <w:p>
      <w:pPr>
        <w:pStyle w:val="ListNumber"/>
      </w:pPr>
      <w:r>
        <w:rPr>
          <w:b/>
        </w:rPr>
        <w:t>Governance e finanziamento del sotto-studio traslazionale ancillare</w:t>
      </w:r>
      <w:r>
        <w:t xml:space="preserve"> (biobanca liquida, TIRZEPATIDE-MASLD) e del sotto-studio CEUS-DETECT-AI: entrambi richiedono competenze (biologia molecolare/bioinformatica per il primo, biostatistica/machine learning per il secondo) che il team clinico non possiede necessariamente in autonomia — vanno identificati collaboratori dedicati prima dell'avvio.</w:t>
      </w:r>
    </w:p>
    <w:p>
      <w:pPr>
        <w:pStyle w:val="ListNumber"/>
      </w:pPr>
      <w:r>
        <w:rPr>
          <w:b/>
        </w:rPr>
        <w:t>Tempi reali del percorso etico-autorizzativo per l'uso secondario dei dati</w:t>
      </w:r>
      <w:r>
        <w:t xml:space="preserve"> (CEUS-DETECT-AI): la raccomandazione di aprirlo dal mese 1 non garantisce che si concluda in tempo utile; è un rischio di processo, non eliminabile dal protocollo.</w:t>
      </w:r>
    </w:p>
    <w:p>
      <w:pPr>
        <w:pStyle w:val="ListNumber"/>
      </w:pPr>
      <w:r>
        <w:rPr>
          <w:b/>
        </w:rPr>
        <w:t>Aggiornamento del calcolo campionario di CEUS-DETECT</w:t>
      </w:r>
      <w:r>
        <w:t xml:space="preserve"> dopo la fase retrospettiva e dopo il nuovo checkpoint proposto in questa revisione (80-100 pazienti prospettici): il numero definitivo di centri satellite necessari non è determinabile ora.</w:t>
      </w:r>
    </w:p>
    <w:p>
      <w:pPr>
        <w:pStyle w:val="ListNumber"/>
      </w:pPr>
      <w:r>
        <w:rPr>
          <w:b/>
        </w:rPr>
        <w:t>Verifica finale diretta su PubMed/DOI resolver</w:t>
      </w:r>
      <w:r>
        <w:t xml:space="preserve"> di tutti i riferimenti bibliografici aggiunti in questa revisione, che è stata condotta con accesso di rete limitato (blocco osservato verso PubMed/Crossref nell'ambiente di lavoro utilizzato) e richiede una conferma finale prima della sottomissione ai Comitati Etici, in particolare per l'elenco autori completo del riferimento [6] della bibliografia CEUS-DETECT e per alcuni dettagli di paginazione minori.</w:t>
      </w:r>
    </w:p>
    <w:p>
      <w:pPr>
        <w:pStyle w:val="ListNumber"/>
      </w:pPr>
      <w:r>
        <w:rPr>
          <w:b/>
        </w:rPr>
        <w:t>Numeri esatti del gap bibliometrico lipidomica/tirzepatide</w:t>
      </w:r>
      <w:r>
        <w:t xml:space="preserve"> (578 vs 13 lavori) citato nelle slide del Prof. Zoppoli: non riproducibili con la query PubMed diretta nell'ambiente di questa revisione; il gap è confermato qualitativamente ma non nei suoi valori numerici precisi.</w:t>
      </w:r>
    </w:p>
    <w:p>
      <w:pPr>
        <w:pStyle w:val="Heading1"/>
      </w:pPr>
      <w:r>
        <w:t>Parte K — Suggerimenti per rendere i protocolli competitivi per riviste Q1</w:t>
      </w:r>
    </w:p>
    <w:p>
      <w:pPr>
        <w:pStyle w:val="ListNumber"/>
      </w:pPr>
      <w:r>
        <w:rPr>
          <w:b/>
        </w:rPr>
        <w:t>Per TIRZEPATIDE-MASLD</w:t>
      </w:r>
      <w:r>
        <w:t>: la modifica singola con il maggiore impatto sulla competitività è la coorte di confronto (G.1.1) — senza di essa, il target realistico resta una rivista di buon livello in ecografia/epatologia clinica, non Lancet Gastroenterology &amp; Hepatology o Gut. Con essa, unita alla componente traslazionale e alla registrazione prospettica, lo studio diventa proponibile a riviste di fascia medio-alta con revisori statistici esigenti.</w:t>
      </w:r>
    </w:p>
    <w:p>
      <w:pPr>
        <w:pStyle w:val="ListNumber"/>
      </w:pPr>
      <w:r>
        <w:rPr>
          <w:b/>
        </w:rPr>
        <w:t>Per CEUS-DETECT</w:t>
      </w:r>
      <w:r>
        <w:t>: il protocollo è già strutturalmente vicino allo standard Q1; il fattore che lo distingue ulteriormente è il sotto-studio CEUS-DETECT-AI, che sposta la value proposition da "buon studio di accuratezza diagnostica" a "primo dataset multicentrico annotato per detection assistita da AI in questo contesto" — un angolo che riviste come Nature Medicine, Lancet Digital Health o Radiology valorizzano oggi più della sola accuratezza diagnostica incrementale.</w:t>
      </w:r>
    </w:p>
    <w:p>
      <w:pPr>
        <w:pStyle w:val="ListNumber"/>
      </w:pPr>
      <w:r>
        <w:rPr>
          <w:b/>
        </w:rPr>
        <w:t>Per entrambi</w:t>
      </w:r>
      <w:r>
        <w:t>: pubblicare il piano di analisi statistica dettagliato in allegato alla registrazione prospettica (ClinicalTrials.gov), prassi sempre più richiesta dagli editor delle riviste indicate nel mandato di questa revisione, e che entrambi i protocolli, in questa versione, prevedono esplicitamente.</w:t>
      </w:r>
    </w:p>
    <w:p>
      <w:pPr>
        <w:pStyle w:val="ListNumber"/>
      </w:pPr>
      <w:r>
        <w:rPr>
          <w:b/>
        </w:rPr>
        <w:t>Per entrambi</w:t>
      </w:r>
      <w:r>
        <w:t>: pianificare fin da ora la strategia di pubblicazione dei sotto-studi ancillari (riproducibilità, traslazionale, AI) come manoscritti distinti e non come semplici sezioni dello studio principale, moltiplicando il ritorno pubblicistico di un singolo sforzo di raccolta dati — coerente con il principio, osservabile nell'attività scientifica del Prof. Zoppoli, di estrarre più prodotti pubblicabili da un'unica infrastruttura di raccolta ben annotata.</w:t>
      </w:r>
    </w:p>
    <w:p>
      <w:pPr>
        <w:pStyle w:val="ListNumber"/>
      </w:pPr>
      <w:r>
        <w:rPr>
          <w:b/>
        </w:rPr>
        <w:t>Per entrambi</w:t>
      </w:r>
      <w:r>
        <w:t>: predisporre, fin dalla sottomissione al Comitato Etico, una dichiarazione esplicita di data sharing (disponibilità dei dati de-identificati su richiesta motivata dopo la pubblicazione), oggi richiesta da molte delle riviste indicate nel mandato.</w:t>
      </w:r>
    </w:p>
    <w:p>
      <w:pPr>
        <w:pStyle w:val="Heading1"/>
      </w:pPr>
      <w:r>
        <w:t>Parte L — Espansioni future proposte</w:t>
      </w:r>
    </w:p>
    <w:p>
      <w:r>
        <w:t>Elencate in ordine di prossimità/fattibilità rispetto al protocollo attuale, non di importanza.</w:t>
      </w:r>
    </w:p>
    <w:p>
      <w:pPr>
        <w:pStyle w:val="ListNumber"/>
      </w:pPr>
      <w:r>
        <w:rPr>
          <w:b/>
        </w:rPr>
        <w:t>Validazione esterna multicentrica del biomarcatore ecografico primario di TIRZEPATIDE-MASLD</w:t>
      </w:r>
      <w:r>
        <w:t>, una volta consolidati i risultati monocentrici — passo naturale e necessario se lo studio pilota confermasse l'ipotesi, per rispondere al limite di generalizzabilità dichiarato in sezione 15 del protocollo.</w:t>
      </w:r>
    </w:p>
    <w:p>
      <w:pPr>
        <w:pStyle w:val="ListNumber"/>
      </w:pPr>
      <w:r>
        <w:rPr>
          <w:b/>
        </w:rPr>
        <w:t>Sotto-studio di validazione tecnica diretta TAI/TSI vs MRI-PDFF</w:t>
      </w:r>
      <w:r>
        <w:t xml:space="preserve"> in un sottocampione dedicato — risolverebbe il problema aperto J.3 e rafforzerebbe sostanzialmente il calcolo campionario di eventuali studi successivi.</w:t>
      </w:r>
    </w:p>
    <w:p>
      <w:pPr>
        <w:pStyle w:val="ListNumber"/>
      </w:pPr>
      <w:r>
        <w:rPr>
          <w:b/>
        </w:rPr>
        <w:t>Confronto testa-a-testa tirzepatide vs semaglutide</w:t>
      </w:r>
      <w:r>
        <w:t xml:space="preserve"> con lo stesso protocollo ecografico multiparametrico, sfruttando l'infrastruttura già costruita — la semaglutide dispone già di letteratura su tecniche ecografiche quantitative (CAP/VCTE), la tirzepatide no: uno studio comparativo diretto colmerebbe questo squilibrio.</w:t>
      </w:r>
    </w:p>
    <w:p>
      <w:pPr>
        <w:pStyle w:val="ListNumber"/>
      </w:pPr>
      <w:r>
        <w:rPr>
          <w:b/>
        </w:rPr>
        <w:t>Estensione del sotto-studio traslazionale ancillare a uno studio dedicato</w:t>
      </w:r>
      <w:r>
        <w:t>, con finanziamento specifico (tipo AIRC Next-Gen Clinician Scientist, coerente con il modello di finanziamento osservato nell'attività del Prof. Zoppoli), qualora i dati pilota di prova di concetto (cfDNA epatocitario, trascrittomica) mostrassero segnali promettenti.</w:t>
      </w:r>
    </w:p>
    <w:p>
      <w:pPr>
        <w:pStyle w:val="ListNumber"/>
      </w:pPr>
      <w:r>
        <w:rPr>
          <w:b/>
        </w:rPr>
        <w:t>Panel lipidomico/metabolomico dedicato su tirzepatide in MASLD</w:t>
      </w:r>
      <w:r>
        <w:t>, condizionato a una collaborazione con una piattaforma di spettrometria di massa e a finanziamento aggiuntivo — motivato dal gap di letteratura confermato in questa revisione (D.3), da proporre come studio ancillare distinto, non come componente del protocollo primario.</w:t>
      </w:r>
    </w:p>
    <w:p>
      <w:pPr>
        <w:pStyle w:val="ListNumber"/>
      </w:pPr>
      <w:r>
        <w:rPr>
          <w:b/>
        </w:rPr>
        <w:t>CEUS-DETECT-AI come programma di ricerca a sé stante</w:t>
      </w:r>
      <w:r>
        <w:t>, con proprio finanziamento (nazionale o europeo) e propria pubblicazione, una volta dimostrata la fattibilità tecnica sul dataset raccolto dallo studio principale — analogo al modello di collaborazione clinico-quantitativa (centro clinico + gruppo di matematica/bioingegneria applicata) osservato nell'attività del Prof. Zoppoli.</w:t>
      </w:r>
    </w:p>
    <w:p>
      <w:pPr>
        <w:pStyle w:val="ListNumber"/>
      </w:pPr>
      <w:r>
        <w:rPr>
          <w:b/>
        </w:rPr>
        <w:t>Estensione prospettica dedicata alla coorte pancreatico-biliare di CEUS-DETECT</w:t>
      </w:r>
      <w:r>
        <w:t>, se l'analisi esplorativa di qualità/interpretabilità (sezione 4.5 del protocollo rivisto) confermasse un segnale di performance differenziale meritevole di indagine dedicata — data l'esperienza e l'interesse del Principal Investigator per la ricerca sui tumori pancreatici, e coerentemente con la cautela metodologica documentata in questa revisione sulla difficoltà intrinseca dell'ecografia pancreatica.</w:t>
      </w:r>
    </w:p>
    <w:p>
      <w:pPr>
        <w:pStyle w:val="ListNumber"/>
      </w:pPr>
      <w:r>
        <w:rPr>
          <w:b/>
        </w:rPr>
        <w:t>Follow-up a lungo termine (oltre i 12 mesi) della coorte TIRZEPATIDE-MASLD</w:t>
      </w:r>
      <w:r>
        <w:t>, per valutare esiti clinici hard (eventi cardiovascolari, progressione a cirrosi, mortalità epato-correlata) oltre ai biomarcatori surrogati — realistico solo come estensione successiva, con finanziamento e infrastruttura dedicati, non nel disegno attuale.</w:t>
      </w:r>
    </w:p>
    <w:p>
      <w:pPr>
        <w:pStyle w:val="ListNumber"/>
      </w:pPr>
      <w:r>
        <w:rPr>
          <w:b/>
        </w:rPr>
        <w:t>Biobanca istituzionale condivisa</w:t>
      </w:r>
      <w:r>
        <w:t xml:space="preserve"> fra i due protocolli e altri studi del Programma di Ecografia, per massimizzare il riuso del materiale biologico e delle immagini raccolte secondo standard comuni — un investimento infrastrutturale che va oltre il singolo studio ma che entrambi i protocolli, in questa versione, iniziano a rendere possibile con l'annotazione strutturata e il consenso dedicato introdotti in questa revisione.</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F3864"/>
      <w:sz w:val="4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1F3864"/>
      <w:sz w:val="32"/>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Calibri" w:hAnsi="Calibri"/>
      <w:b/>
      <w:bCs/>
      <w:color w:val="2E5395"/>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