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360"/>
        <w:jc w:val="center"/>
      </w:pPr>
      <w:r>
        <w:rPr>
          <w:rFonts w:ascii="Times New Roman" w:cs="Times New Roman" w:eastAsia="Times New Roman" w:hAnsi="Times New Roman"/>
          <w:b/>
          <w:bCs/>
          <w:i w:val="false"/>
          <w:iCs w:val="false"/>
          <w:sz w:val="32"/>
          <w:szCs w:val="32"/>
        </w:rPr>
        <w:t xml:space="preserve">Anticoagulation in High-Risk Antiphospholipid Syndrome and Active Cancer: A Scoping Review and Clinical Framework</w:t>
      </w:r>
    </w:p>
    <w:p>
      <w:pPr>
        <w:spacing w:after="100" w:before="0" w:line="360"/>
        <w:jc w:val="center"/>
      </w:pPr>
      <w:r>
        <w:rPr>
          <w:rFonts w:ascii="Times New Roman" w:cs="Times New Roman" w:eastAsia="Times New Roman" w:hAnsi="Times New Roman"/>
          <w:b w:val="false"/>
          <w:bCs w:val="false"/>
          <w:i/>
          <w:iCs/>
          <w:sz w:val="22"/>
          <w:szCs w:val="22"/>
        </w:rPr>
        <w:t xml:space="preserve">Working title — draft manuscript v0.4</w:t>
      </w:r>
    </w:p>
    <w:p>
      <w:pPr>
        <w:spacing w:after="400" w:before="0" w:line="360"/>
        <w:jc w:val="center"/>
      </w:pPr>
      <w:r>
        <w:rPr>
          <w:rFonts w:ascii="Times New Roman" w:cs="Times New Roman" w:eastAsia="Times New Roman" w:hAnsi="Times New Roman"/>
          <w:b w:val="false"/>
          <w:bCs w:val="false"/>
          <w:i w:val="false"/>
          <w:iCs w:val="false"/>
          <w:sz w:val="22"/>
          <w:szCs w:val="22"/>
        </w:rPr>
        <w:t xml:space="preserve">Running title: Anticoagulation in high-risk APS with cancer</w:t>
      </w:r>
    </w:p>
    <w:p>
      <w:pPr>
        <w:spacing w:after="80" w:before="0" w:line="360"/>
        <w:jc w:val="center"/>
      </w:pPr>
      <w:r>
        <w:rPr>
          <w:rFonts w:ascii="Times New Roman" w:cs="Times New Roman" w:eastAsia="Times New Roman" w:hAnsi="Times New Roman"/>
          <w:b w:val="false"/>
          <w:bCs w:val="false"/>
          <w:i w:val="false"/>
          <w:iCs w:val="false"/>
          <w:sz w:val="22"/>
          <w:szCs w:val="22"/>
        </w:rPr>
        <w:t xml:space="preserve">Authors: [to be completed]</w:t>
      </w:r>
    </w:p>
    <w:p>
      <w:pPr>
        <w:spacing w:after="80" w:before="0" w:line="360"/>
        <w:jc w:val="center"/>
      </w:pPr>
      <w:r>
        <w:rPr>
          <w:rFonts w:ascii="Times New Roman" w:cs="Times New Roman" w:eastAsia="Times New Roman" w:hAnsi="Times New Roman"/>
          <w:b w:val="false"/>
          <w:bCs w:val="false"/>
          <w:i w:val="false"/>
          <w:iCs w:val="false"/>
          <w:sz w:val="22"/>
          <w:szCs w:val="22"/>
        </w:rPr>
        <w:t xml:space="preserve">Affiliations: [to be completed]</w:t>
      </w:r>
    </w:p>
    <w:p>
      <w:pPr>
        <w:spacing w:after="400" w:before="0" w:line="360"/>
        <w:jc w:val="center"/>
      </w:pPr>
      <w:r>
        <w:rPr>
          <w:rFonts w:ascii="Times New Roman" w:cs="Times New Roman" w:eastAsia="Times New Roman" w:hAnsi="Times New Roman"/>
          <w:b w:val="false"/>
          <w:bCs w:val="false"/>
          <w:i w:val="false"/>
          <w:iCs w:val="false"/>
          <w:sz w:val="22"/>
          <w:szCs w:val="22"/>
        </w:rPr>
        <w:t xml:space="preserve">Corresponding author: [to be completed]</w:t>
      </w:r>
    </w:p>
    <w:p>
      <w:pPr>
        <w:spacing w:after="100" w:before="0" w:line="360"/>
        <w:jc w:val="center"/>
      </w:pPr>
      <w:r>
        <w:rPr>
          <w:rFonts w:ascii="Times New Roman" w:cs="Times New Roman" w:eastAsia="Times New Roman" w:hAnsi="Times New Roman"/>
          <w:b w:val="false"/>
          <w:bCs w:val="false"/>
          <w:i w:val="false"/>
          <w:iCs w:val="false"/>
          <w:sz w:val="22"/>
          <w:szCs w:val="22"/>
        </w:rPr>
        <w:t xml:space="preserve">Keywords: antiphospholipid syndrome; triple positivity; high-risk antiphospholipid antibody profile; cancer-associated thrombosis; anticoagulation; direct oral anticoagulants; vitamin K antagonists; scoping review</w:t>
      </w:r>
    </w:p>
    <w:p>
      <w:pPr>
        <w:spacing w:after="200" w:before="0" w:line="360"/>
        <w:jc w:val="center"/>
      </w:pPr>
      <w:r>
        <w:rPr>
          <w:rFonts w:ascii="Times New Roman" w:cs="Times New Roman" w:eastAsia="Times New Roman" w:hAnsi="Times New Roman"/>
          <w:b w:val="false"/>
          <w:bCs w:val="false"/>
          <w:i/>
          <w:iCs/>
          <w:sz w:val="20"/>
          <w:szCs w:val="20"/>
        </w:rPr>
        <w:t xml:space="preserve">Word count: [to be completed]  |  Tables: [n]  |  Figures: [n]  |  References: [n]</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Abstract</w:t>
      </w:r>
    </w:p>
    <w:p>
      <w:pPr>
        <w:spacing w:after="200" w:before="0" w:line="360"/>
        <w:jc w:val="both"/>
      </w:pPr>
      <w:r>
        <w:rPr>
          <w:rFonts w:ascii="Times New Roman" w:cs="Times New Roman" w:eastAsia="Times New Roman" w:hAnsi="Times New Roman"/>
          <w:b w:val="false"/>
          <w:bCs w:val="false"/>
          <w:i/>
          <w:iCs/>
          <w:sz w:val="22"/>
          <w:szCs w:val="22"/>
        </w:rPr>
        <w:t xml:space="preserve">[Placeholder — to be finalised once the search and data charting are complete. Structure below follows the format typically required for a scoping review abstract; word limits should be checked against the target journal.]</w:t>
      </w:r>
    </w:p>
    <w:p>
      <w:pPr>
        <w:pStyle w:val="Heading3"/>
        <w:spacing w:after="120" w:before="200" w:line="360"/>
        <w:jc w:val="left"/>
      </w:pPr>
      <w:r>
        <w:rPr>
          <w:rFonts w:ascii="Times New Roman" w:cs="Times New Roman" w:eastAsia="Times New Roman" w:hAnsi="Times New Roman"/>
          <w:b/>
          <w:bCs/>
          <w:i/>
          <w:iCs/>
          <w:sz w:val="24"/>
          <w:szCs w:val="24"/>
        </w:rPr>
        <w:t xml:space="preserve">Background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Vitamin K antagonists (VKAs) remain the recommended anticoagulant treatment for patients with high-risk or triple-positive antiphospholipid syndrome (APS), following randomized evidence of excess arterial thrombotic events with direct oral anticoagulants (DOACs) in this subgroup. Independently, current guidance for cancer-associated thrombosis favours DOACs or low-molecular-weight heparin (LMWH) over VKAs. Whether, and how, these two evidence-based recommendations can be reconciled when high-risk APS and active malignancy coexist has not, to our knowledge, been systematically examined.</w:t>
      </w:r>
    </w:p>
    <w:p>
      <w:pPr>
        <w:pStyle w:val="Heading3"/>
        <w:spacing w:after="120" w:before="200" w:line="360"/>
        <w:jc w:val="left"/>
      </w:pPr>
      <w:r>
        <w:rPr>
          <w:rFonts w:ascii="Times New Roman" w:cs="Times New Roman" w:eastAsia="Times New Roman" w:hAnsi="Times New Roman"/>
          <w:b/>
          <w:bCs/>
          <w:i/>
          <w:iCs/>
          <w:sz w:val="24"/>
          <w:szCs w:val="24"/>
        </w:rPr>
        <w:t xml:space="preserve">Objectives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map the available evidence on anticoagulant management in patients with high-risk/triple-positive APS and concurrent cancer, and to synthesise a clinical framework distinguishing evidence-based, extrapolated, and expert-opinion–based recommendations across common oncological scenarios.</w:t>
      </w:r>
    </w:p>
    <w:p>
      <w:pPr>
        <w:pStyle w:val="Heading3"/>
        <w:spacing w:after="120" w:before="200" w:line="360"/>
        <w:jc w:val="left"/>
      </w:pPr>
      <w:r>
        <w:rPr>
          <w:rFonts w:ascii="Times New Roman" w:cs="Times New Roman" w:eastAsia="Times New Roman" w:hAnsi="Times New Roman"/>
          <w:b/>
          <w:bCs/>
          <w:i/>
          <w:iCs/>
          <w:sz w:val="24"/>
          <w:szCs w:val="24"/>
        </w:rPr>
        <w:t xml:space="preserve">Methods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 scoping review conducted per PRISMA-ScR/JBI methodology; databases searched; number of records screened/included.]</w:t>
      </w:r>
    </w:p>
    <w:p>
      <w:pPr>
        <w:pStyle w:val="Heading3"/>
        <w:spacing w:after="120" w:before="200" w:line="360"/>
        <w:jc w:val="left"/>
      </w:pPr>
      <w:r>
        <w:rPr>
          <w:rFonts w:ascii="Times New Roman" w:cs="Times New Roman" w:eastAsia="Times New Roman" w:hAnsi="Times New Roman"/>
          <w:b/>
          <w:bCs/>
          <w:i/>
          <w:iCs/>
          <w:sz w:val="24"/>
          <w:szCs w:val="24"/>
        </w:rPr>
        <w:t xml:space="preserve">Results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 after data charting.]</w:t>
      </w:r>
    </w:p>
    <w:p>
      <w:pPr>
        <w:pStyle w:val="Heading3"/>
        <w:spacing w:after="120" w:before="200" w:line="360"/>
        <w:jc w:val="left"/>
      </w:pPr>
      <w:r>
        <w:rPr>
          <w:rFonts w:ascii="Times New Roman" w:cs="Times New Roman" w:eastAsia="Times New Roman" w:hAnsi="Times New Roman"/>
          <w:b/>
          <w:bCs/>
          <w:i/>
          <w:iCs/>
          <w:sz w:val="24"/>
          <w:szCs w:val="24"/>
        </w:rPr>
        <w:t xml:space="preserve">Conclusions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1. Introduction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1.1 Antiphospholipid syndrome: classification and risk stratification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Antiphospholipid syndrome (APS) is an acquired, autoimmune thrombophilia defined by the persistent presence of antiphospholipid antibodies (aPL) — lupus anticoagulant (LAC), anticardiolipin antibodies (aCL), and anti-β2-glycoprotein I antibodies (anti-β2GPI) — in patients with vascular thrombosis and/or pregnancy morbidity [REF: 2023 ACR/EULAR APS classification criteria; 9]. Persistence of antibody positivity on two occasions at least 12 weeks apart, together with the number and combination of positive assays, is central to both diagnosis and risk stratification [9].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key concept for the present work is the distinction between the number of positive aPL assays. Patients positive for all three antibody types — LAC, aCL, and anti-β2GPI, so-called “triple positivity” — together with patients otherwise classified as having a “high-risk aPL profile”, carry a substantially higher cumulative incidence of thrombotic recurrence, both venous and arterial, than single- or double-positive patients [1]. Across international recommendations, triple-positive/high-risk APS is treated as a distinct clinical phenotype requiring a different therapeutic approach from lower-risk profiles, rather than as a simple summation of individual antibody risks.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1.2 High-risk/triple-positive APS: the case for vitamin K antagonists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Three randomized controlled trials have directly compared a DOAC with a VKA in patients with thrombotic APS. The Rivaroxaban in Antiphospholipid Syndrome (TRAPS) trial enrolled patients with triple-positive APS and was terminated prematurely after an excess of arterial thrombotic events, predominantly stroke, occurred in the rivaroxaban arm [1]. A second open-label trial by Ordi-Ros et al. compared rivaroxaban with a VKA in a broader thrombotic APS population and likewise reported a signal toward increased arterial events with rivaroxaban [2]. The Apixaban for the Secondary Prevention of Thromboembolism among patients with APS (ASTRO-APS) trial subsequently found that apixaban did not perform as an equivalent substitute for warfarin [3].</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meta-analysis of these randomized trials by Khairani et al. confirmed that, compared with VKAs, DOACs were associated with an increased risk of arterial thrombotic events, with no significant difference in venous thromboembolism (VTE) recurrence or major bleeding; the risk appeared highest among triple-positive patients and with rivaroxaban specifically [4]. On this basis, the European Medicines Agency and, subsequently, the US Food and Drug Administration issued warnings against the use of DOACs in patients with APS, particularly those with triple positivity or a history of arterial thrombosis [REF: EMA/FDA safety communications]. Contemporary guidance and narrative updates — including the 2019 EULAR recommendations for the management of APS in adults [5], the Chest antithrombotic therapy guideline [13], the British Society for Haematology guideline [REF], and recent reviews of anticoagulant and non-anticoagulant therapy in thrombotic APS [10,11] — converge in recommending VKA therapy (target INR 2.0–3.0, or higher for recurrent or arterial disease per local protocol) as the standard of care for triple-positive or otherwise high-risk thrombotic APS, reserving DOACs for selected lower-risk, venous-only, single/double-positive patients under specific circumstances (e.g., patients already stable on a DOAC, inability or unwillingness to undergo INR monitoring, or VKA contraindication). Reliable INR monitoring is itself a recognised challenge in thrombotic APS, particularly when lupus anticoagulant interferes with certain thromboplastin reagents [12].</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mechanistic basis for the differential performance of DOACs and VKAs in high-risk APS is not fully established. Proposed explanations — including differential effects on thrombin generation, complement activation, and antibody-mediated endothelial and monocyte activation compared with the broader, multi-factor anticoagulant effect of VKAs — remain hypothesis-generating rather than proven [REF]. This mechanistic uncertainty is noted here as an explicit limitation of current understanding, not as an established causal explanation.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1.3 Cancer-associated thrombosis: the modern paradigm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Independently of the APS literature, contemporary guidelines for cancer-associated venous thromboembolism — including the National Comprehensive Cancer Network (NCCN) guidance [14], the 2022 International Initiative on Thrombosis and Cancer (ITAC) clinical practice guidelines and their 2016 predecessor [15,16], the American Society of Clinical Oncology (ASCO) guideline update [17], and the 2022 European Society of Cardiology (ESC) Cardio-Oncology guidelines [18] — recommend either a DOAC (apixaban, rivaroxaban, or edoxaban) or LMWH as first-line therapy, generally for a minimum of three to six months and, in practice, for as long as the malignancy remains active or under treatment. Choice between agents is guided by renal and hepatic function, gastrointestinal or genitourinary tumour site (favouring LMWH because of bleeding risk with DOACs), bleeding risk, thrombocytopenia, and patient preference; a dedicated review of anticoagulation strategy selection in cancer patients provides a broader synthesis of these factors [19].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Critically for the present review, the pivotal trials and guideline documents underlying this paradigm were neither designed nor powered to identify, let alone stratify recommendations by, the presence of an antiphospholipid antibody profile. The cancer-associated thrombosis literature and the APS literature have therefore developed as two internally coherent but essentially non-overlapping evidence bases.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1.4 Rationale: a clinical and scientific collision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When high-risk or triple-positive APS and active malignancy coexist in the same patient, two evidence-based guideline bodies point toward different first-line agents. This is not merely a theoretical tension. Active oncological treatment introduces practical and biological factors that specifically threaten the feasibility of VKA therapy — the drug of choice in high-risk APS — including chemotherapy- or radiotherapy-induced mucositis, nausea and vomiting, variable oral intake and vitamin K consumption, drug–drug interactions with chemotherapeutic and supportive-care agents, thrombocytopenia complicating both therapeutic-intensity anticoagulation and bleeding risk, and recurrent need for temporary interruption around invasive procedures or catheter placement.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Available literature at this specific intersection is currently limited to isolated case reports and small, largely descriptive case series. A recent case report explicitly frames the coexistence of cancer, APS, and lupus anticoagulant as a “perfect storm” for thrombosis, illustrating the clinical dilemma but without offering a generalisable management strategy [6]. Separately, prospective cohort data in ambulatory cancer patients receiving chemotherapy show a higher prevalence of aPL positivity and a higher rate of thrombotic events among aPL-positive patients compared with aPL-negative controls [7]; a systematic review of observational studies has similarly documented an elevated prevalence of aPL in patients with solid tumours [8]. These data, however, concern aPL positivity — often low-titre and transient — in unselected oncological populations, and do not describe patients meeting classification criteria for APS, still less triple-positive APS. To our knowledge, no cohort study, registry, or comparative study has specifically addressed anticoagulant strategy, efficacy, or safety in patients with defined high-risk/triple-positive APS and concurrent active cancer.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distinction — between (A) oncological patients with simple, often transient aPL positivity, (B) oncological patients with clinically defined APS, and (C) oncological patients with high-risk/triple-positive APS — is maintained throughout this review and is central to interpreting the existing literature without over-extrapolating findings from one population to another.</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1.5 Objectives</w:t>
      </w:r>
    </w:p>
    <w:p>
      <w:pPr>
        <w:pStyle w:val="ListParagraph"/>
        <w:numPr>
          <w:ilvl w:val="0"/>
          <w:numId w:val="2"/>
        </w:numPr>
        <w:spacing w:after="120" w:line="360"/>
      </w:pPr>
      <w:r>
        <w:rPr>
          <w:rFonts w:ascii="Times New Roman" w:cs="Times New Roman" w:eastAsia="Times New Roman" w:hAnsi="Times New Roman"/>
          <w:sz w:val="24"/>
          <w:szCs w:val="24"/>
        </w:rPr>
        <w:t xml:space="preserve">Primary aim: to systematically map, using scoping review methodology, the existing evidence on anticoagulant management of patients with high-risk/triple-positive APS and active or recent malignancy, explicitly distinguishing populations A, B, and C above.</w:t>
      </w:r>
    </w:p>
    <w:p>
      <w:pPr>
        <w:pStyle w:val="ListParagraph"/>
        <w:numPr>
          <w:ilvl w:val="0"/>
          <w:numId w:val="2"/>
        </w:numPr>
        <w:spacing w:after="120" w:line="360"/>
      </w:pPr>
      <w:r>
        <w:rPr>
          <w:rFonts w:ascii="Times New Roman" w:cs="Times New Roman" w:eastAsia="Times New Roman" w:hAnsi="Times New Roman"/>
          <w:sz w:val="24"/>
          <w:szCs w:val="24"/>
        </w:rPr>
        <w:t xml:space="preserve">Secondary aim: to synthesise, from this evidence map together with directly relevant APS and cancer-associated thrombosis literature, a clinical decision framework spanning common oncological scenarios (stable disease, chemotherapy, radiotherapy-induced mucositis, thrombocytopenia, invasive procedures, unstable anticoagulation control, breakthrough thrombosis, and major bleeding), with each recommendation explicitly graded by the nature of its evidentiary basis.</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2. Methods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2.1 Protocol and reporting standards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scoping review will be conducted and reported in accordance with the Preferred Reporting Items for Systematic Reviews and Meta-Analyses extension for Scoping Reviews (PRISMA-ScR) [REF: Tricco et al., 2018] and the Joanna Briggs Institute (JBI) methodological guidance for scoping reviews [REF: Peters et al., JBI Manual]. The protocol will be registered prospectively on the Open Science Framework (OSF), as scoping review protocols are not eligible for registration on PROSPERO. [Registration details to be completed.]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2.2 Eligibility criteria (Population–Concept–Context)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Eligibility is defined using the Population–Concept–Context (PCC) framework recommended for scoping reviews, rather than a strict PICO structure, reflecting the descriptive/mapping aim of the primary review component.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Population: </w:t>
      </w:r>
      <w:r>
        <w:rPr>
          <w:rFonts w:ascii="Times New Roman" w:cs="Times New Roman" w:eastAsia="Times New Roman" w:hAnsi="Times New Roman"/>
          <w:b w:val="false"/>
          <w:bCs w:val="false"/>
          <w:i w:val="false"/>
          <w:iCs w:val="false"/>
          <w:sz w:val="24"/>
          <w:szCs w:val="24"/>
        </w:rPr>
        <w:t xml:space="preserve">adults (≥18 years) with a diagnosis of APS fulfilling recognised classification criteria (Sapporo 1999, revised Sydney 2006, or 2023 ACR/EULAR), or with persistently positive aPL explicitly reported as single-, double-, or triple-positive, who have a current or past diagnosis of a solid or haematological malignancy.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Concept: </w:t>
      </w:r>
      <w:r>
        <w:rPr>
          <w:rFonts w:ascii="Times New Roman" w:cs="Times New Roman" w:eastAsia="Times New Roman" w:hAnsi="Times New Roman"/>
          <w:b w:val="false"/>
          <w:bCs w:val="false"/>
          <w:i w:val="false"/>
          <w:iCs w:val="false"/>
          <w:sz w:val="24"/>
          <w:szCs w:val="24"/>
        </w:rPr>
        <w:t xml:space="preserve">anticoagulant management strategies — vitamin K antagonists, direct oral anticoagulants, low-molecular-weight heparin, unfractionated heparin, and switching/bridging approaches — and any reported thrombotic, haemorrhagic, or treatment-continuity outcome in this population.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Context: </w:t>
      </w:r>
      <w:r>
        <w:rPr>
          <w:rFonts w:ascii="Times New Roman" w:cs="Times New Roman" w:eastAsia="Times New Roman" w:hAnsi="Times New Roman"/>
          <w:b w:val="false"/>
          <w:bCs w:val="false"/>
          <w:i w:val="false"/>
          <w:iCs w:val="false"/>
          <w:sz w:val="24"/>
          <w:szCs w:val="24"/>
        </w:rPr>
        <w:t xml:space="preserve">any clinical setting and country, published in any language with an available English abstract at minimum, with no restriction on publication date. Randomized controlled trials, prospective and retrospective cohort studies, registries, case series, and case reports are all eligible for inclusion and will be charted according to study design, consistent with the exploratory aim of a scoping review.</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Exclusion criteria: studies reporting isolated, non-persistent aPL positivity without confirmatory retesting; studies limited to obstetric APS without a thrombotic component; studies on cancer populations that do not report aPL/APS status; conference abstracts without extractable data; paediatric populations; and reviews, editorials, or commentaries without original data (retained separately for discussion and citation-tracking purposes only).</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2.3 Information sources and search strategy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following databases will be searched from inception: MEDLINE (via PubMed), Embase, Cochrane Central Register of Controlled Trials (CENTRAL), and Scopus/Web of Science. Reference lists of all included studies and of relevant narrative and systematic reviews will be hand-searched, and forward citation tracking will be performed for key articles. Grey literature (conference abstracts from ASH, ISTH, EULAR, ACR annual meetings) will be searched separately and reported but not pooled with the main evidence map.</w:t>
      </w:r>
    </w:p>
    <w:p>
      <w:pPr>
        <w:pStyle w:val="Heading3"/>
        <w:spacing w:after="120" w:before="200" w:line="360"/>
        <w:jc w:val="left"/>
      </w:pPr>
      <w:r>
        <w:rPr>
          <w:rFonts w:ascii="Times New Roman" w:cs="Times New Roman" w:eastAsia="Times New Roman" w:hAnsi="Times New Roman"/>
          <w:b/>
          <w:bCs/>
          <w:i/>
          <w:iCs/>
          <w:sz w:val="24"/>
          <w:szCs w:val="24"/>
        </w:rPr>
        <w:t xml:space="preserve">Sensitive (broad) PubMed search string</w:t>
      </w:r>
    </w:p>
    <w:p>
      <w:pPr>
        <w:spacing w:after="200" w:before="0" w:line="360"/>
        <w:jc w:val="both"/>
      </w:pPr>
      <w:r>
        <w:rPr>
          <w:rFonts w:ascii="Times New Roman" w:cs="Times New Roman" w:eastAsia="Times New Roman" w:hAnsi="Times New Roman"/>
          <w:b w:val="false"/>
          <w:bCs w:val="false"/>
          <w:i/>
          <w:iCs/>
          <w:sz w:val="22"/>
          <w:szCs w:val="22"/>
        </w:rPr>
        <w:t xml:space="preserve">("antiphospholipid syndrome"[MeSH] OR "antiphospholipid antibodies"[MeSH] OR "lupus coagulation inhibitor"[MeSH] OR antiphospholipid[tiab] OR "lupus anticoagulant"[tiab]) AND ("neoplasms"[MeSH] OR cancer[tiab] OR malignan*[tiab] OR oncolog*[tiab] OR tumor[tiab] OR tumour[tiab]) AND ("anticoagulants"[MeSH] OR anticoagul*[tiab] OR warfarin[tiab] OR "vitamin K antagonist*"[tiab] OR "direct oral anticoagulant*"[tiab] OR DOAC[tiab] OR NOAC[tiab] OR rivaroxaban[tiab] OR apixaban[tiab] OR edoxaban[tiab] OR dabigatran[tiab] OR heparin[tiab] OR "low molecular weight heparin"[tiab] OR LMWH[tiab])</w:t>
      </w:r>
    </w:p>
    <w:p>
      <w:pPr>
        <w:pStyle w:val="Heading3"/>
        <w:spacing w:after="120" w:before="200" w:line="360"/>
        <w:jc w:val="left"/>
      </w:pPr>
      <w:r>
        <w:rPr>
          <w:rFonts w:ascii="Times New Roman" w:cs="Times New Roman" w:eastAsia="Times New Roman" w:hAnsi="Times New Roman"/>
          <w:b/>
          <w:bCs/>
          <w:i/>
          <w:iCs/>
          <w:sz w:val="24"/>
          <w:szCs w:val="24"/>
        </w:rPr>
        <w:t xml:space="preserve">Specific (high-risk/triple-positive) PubMed search string</w:t>
      </w:r>
    </w:p>
    <w:p>
      <w:pPr>
        <w:spacing w:after="200" w:before="0" w:line="360"/>
        <w:jc w:val="both"/>
      </w:pPr>
      <w:r>
        <w:rPr>
          <w:rFonts w:ascii="Times New Roman" w:cs="Times New Roman" w:eastAsia="Times New Roman" w:hAnsi="Times New Roman"/>
          <w:b w:val="false"/>
          <w:bCs w:val="false"/>
          <w:i/>
          <w:iCs/>
          <w:sz w:val="22"/>
          <w:szCs w:val="22"/>
        </w:rPr>
        <w:t xml:space="preserve">("antiphospholipid syndrome"[MeSH] OR antiphospholipid[tiab]) AND ("triple positiv*"[tiab] OR "high-risk"[tiab] OR ("lupus anticoagulant"[tiab] AND "anticardiolipin"[tiab] AND "beta2 glycoprotein"[tiab])) AND (cancer[tiab] OR malignan*[tiab] OR oncolog*[tiab] OR chemotherapy[tiab] OR radiotherapy[tiab]) AND (anticoagul*[tiab] OR warfarin[tiab] OR DOAC[tiab] OR "direct oral anticoagulant*"[tiab])</w:t>
      </w:r>
    </w:p>
    <w:p>
      <w:pPr>
        <w:pStyle w:val="Heading3"/>
        <w:spacing w:after="120" w:before="200" w:line="360"/>
        <w:jc w:val="left"/>
      </w:pPr>
      <w:r>
        <w:rPr>
          <w:rFonts w:ascii="Times New Roman" w:cs="Times New Roman" w:eastAsia="Times New Roman" w:hAnsi="Times New Roman"/>
          <w:b/>
          <w:bCs/>
          <w:i/>
          <w:iCs/>
          <w:sz w:val="24"/>
          <w:szCs w:val="24"/>
        </w:rPr>
        <w:t xml:space="preserve">MeSH terms and free-text terms</w:t>
      </w:r>
    </w:p>
    <w:p>
      <w:pPr>
        <w:spacing w:after="200" w:before="0" w:line="360"/>
        <w:jc w:val="both"/>
      </w:pPr>
      <w:r>
        <w:rPr>
          <w:rFonts w:ascii="Times New Roman" w:cs="Times New Roman" w:eastAsia="Times New Roman" w:hAnsi="Times New Roman"/>
          <w:b w:val="false"/>
          <w:bCs w:val="false"/>
          <w:i/>
          <w:iCs/>
          <w:sz w:val="24"/>
          <w:szCs w:val="24"/>
        </w:rPr>
        <w:t xml:space="preserve">MeSH: Antiphospholipid Syndrome; Lupus Coagulation Inhibitor; Anticardiolipin Antibodies; beta 2-Glycoprotein I; Neoplasms; Venous Thromboembolism; Anticoagulants; Warfarin; Factor Xa Inhibitors; Heparin, Low-Molecular-Weight.</w:t>
      </w:r>
    </w:p>
    <w:p>
      <w:pPr>
        <w:spacing w:after="200" w:before="0" w:line="360"/>
        <w:jc w:val="both"/>
      </w:pPr>
      <w:r>
        <w:rPr>
          <w:rFonts w:ascii="Times New Roman" w:cs="Times New Roman" w:eastAsia="Times New Roman" w:hAnsi="Times New Roman"/>
          <w:b w:val="false"/>
          <w:bCs w:val="false"/>
          <w:i/>
          <w:iCs/>
          <w:sz w:val="24"/>
          <w:szCs w:val="24"/>
        </w:rPr>
        <w:t xml:space="preserve">Additional free-text terms: “cancer-associated thrombosis”, “triple positive APS”, “high-risk aPL profile”, “breakthrough thrombosis”, “mucositis anticoagulation”, “time in therapeutic range”/TTR, “bridging therapy”, “switching anticoagulant”.</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2.4 Study selection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Records identified through database searching will be de-duplicated and screened independently by two reviewers at the title/abstract level, followed by independent full-text assessment against the eligibility criteria above. Disagreements will be resolved by discussion or, where necessary, adjudication by a third reviewer. The study selection process will be reported in full using a PRISMA-ScR flow diagram. [Software for screening — e.g., Rayyan or Covidence — to be confirmed.]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2.5 Data charting process and items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standardised data extraction form will be piloted on a sample of included studies and refined iteratively, consistent with scoping review methodology. The full list of variables to be charted is provided in Appendix B.</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2.6 Synthesis of results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Consistent with the feasibility analysis conducted prior to this protocol (summarised in Section 4.1), no quantitative pooling of effect estimates is planned. The anticipated heterogeneity in APS case definitions, aPL profiles, tumour types, oncological treatments, anticoagulant regimens, and outcome definitions and follow-up duration renders meta-analytic pooling clinically and methodologically inappropriate for the core research question. Findings will instead be synthesised: (i) descriptively and in tabular form for the scoping review component (study characteristics, populations A/B/C, strategies and outcomes reported); and (ii) narratively for the clinical framework component, in which each recommendation is explicitly labelled according to its evidentiary basis, using the following three-tier grading scheme:</w:t>
      </w:r>
    </w:p>
    <w:p>
      <w:pPr>
        <w:pStyle w:val="ListParagraph"/>
        <w:numPr>
          <w:ilvl w:val="0"/>
          <w:numId w:val="2"/>
        </w:numPr>
        <w:spacing w:after="120" w:line="360"/>
      </w:pPr>
      <w:r>
        <w:rPr>
          <w:rFonts w:ascii="Times New Roman" w:cs="Times New Roman" w:eastAsia="Times New Roman" w:hAnsi="Times New Roman"/>
          <w:sz w:val="24"/>
          <w:szCs w:val="24"/>
        </w:rPr>
        <w:t xml:space="preserve">Direct evidence: derived from studies conducted in the combined population of interest (APS, particularly high-risk/triple-positive, with concurrent malignancy).</w:t>
      </w:r>
    </w:p>
    <w:p>
      <w:pPr>
        <w:pStyle w:val="ListParagraph"/>
        <w:numPr>
          <w:ilvl w:val="0"/>
          <w:numId w:val="2"/>
        </w:numPr>
        <w:spacing w:after="120" w:line="360"/>
      </w:pPr>
      <w:r>
        <w:rPr>
          <w:rFonts w:ascii="Times New Roman" w:cs="Times New Roman" w:eastAsia="Times New Roman" w:hAnsi="Times New Roman"/>
          <w:sz w:val="24"/>
          <w:szCs w:val="24"/>
        </w:rPr>
        <w:t xml:space="preserve">Indirect/extrapolated evidence: derived from studies in APS without cancer, or in cancer-associated thrombosis without documented APS, applied by analogy to the combined population.</w:t>
      </w:r>
    </w:p>
    <w:p>
      <w:pPr>
        <w:pStyle w:val="ListParagraph"/>
        <w:numPr>
          <w:ilvl w:val="0"/>
          <w:numId w:val="2"/>
        </w:numPr>
        <w:spacing w:after="120" w:line="360"/>
      </w:pPr>
      <w:r>
        <w:rPr>
          <w:rFonts w:ascii="Times New Roman" w:cs="Times New Roman" w:eastAsia="Times New Roman" w:hAnsi="Times New Roman"/>
          <w:sz w:val="24"/>
          <w:szCs w:val="24"/>
        </w:rPr>
        <w:t xml:space="preserve">Expert opinion/pathophysiological reasoning: recommendations not directly supported by either literature but considered clinically reasonable on pharmacological or mechanistic grounds.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pre-specified contingency is adopted rather than a purely post-hoc decision: as full-text screening and data charting proceed (tracked in a companion extraction spreadsheet, see Appendix C), a quantitative pooled analysis will be considered only if (i) at least five distinct studies contribute a Population C (high-risk/triple-positive APS with cancer) patient, (ii) at least one of these is a genuine comparative design (cohort, registry, or RCT) rather than a case report or case series, and (iii) at least three Population C patients are identifiable on each of at least two anticoagulant strategies being compared. Criterion (ii) is treated as necessary, not merely sufficient: accumulating case reports/series alone, however numerous, supports at most a descriptive pooled proportion with an explicit publication-bias caveat, never a comparative effect estimate, since case-level reports lack a denominator and a reference group by design. If these criteria are not met, the scoping review and narrative clinical framework described above stand as the complete, self-sufficient output of this project. If they are met, which of the tiers set out in Section 2.7 becomes achievable depends on exactly what combination of cancer status, aPL profile, and treatment the identified comparative studies report — not on patient count alone.</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2.7 Pre-specified statistical analysis plan for a conditional quantitative synthesis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analysis plan below is specified in advance, as a tiered escalation, precisely so that the choice among tiers is dictated by what the identified literature actually supports rather than decided after seeing favourable results. All three tiers concern only the conditional, contingent component of this project (Section 2.6); they do not affect the scoping review and narrative framework, which proceed regardless.</w:t>
      </w:r>
    </w:p>
    <w:p>
      <w:pPr>
        <w:pStyle w:val="Heading3"/>
        <w:spacing w:after="120" w:before="200" w:line="360"/>
        <w:jc w:val="left"/>
      </w:pPr>
      <w:r>
        <w:rPr>
          <w:rFonts w:ascii="Times New Roman" w:cs="Times New Roman" w:eastAsia="Times New Roman" w:hAnsi="Times New Roman"/>
          <w:b/>
          <w:bCs/>
          <w:i/>
          <w:iCs/>
          <w:sz w:val="24"/>
          <w:szCs w:val="24"/>
        </w:rPr>
        <w:t xml:space="preserve">Tier 1 (default target if any quantitative synthesis proceeds): cancer as a pre-specified effect modifier within an APS-wide analysis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pairwise meta-analysis of the existing comparative evidence on anticoagulant strategy in high-risk/triple-positive thrombotic APS (RCTs and, analysed separately, observational cohorts/registries), framed around determinants of anticoagulant failure and bleeding, with active malignancy included as one of a small, fixed set of pre-specified effect modifiers alongside triple positivity and arterial-versus-venous index event (full list below). This tier is the realistic default because it requires only that individual studies report cancer status as a covariate or subgroup, not that any study was designed around an oncological population — a materially lower evidentiary bar than Tier 2.</w:t>
      </w:r>
    </w:p>
    <w:p>
      <w:pPr>
        <w:pStyle w:val="Heading3"/>
        <w:spacing w:after="120" w:before="200" w:line="360"/>
        <w:jc w:val="left"/>
      </w:pPr>
      <w:r>
        <w:rPr>
          <w:rFonts w:ascii="Times New Roman" w:cs="Times New Roman" w:eastAsia="Times New Roman" w:hAnsi="Times New Roman"/>
          <w:b/>
          <w:bCs/>
          <w:i/>
          <w:iCs/>
          <w:sz w:val="24"/>
          <w:szCs w:val="24"/>
        </w:rPr>
        <w:t xml:space="preserve">Tier 2 (conditional on data availability): a direct cancer-present versus cancer-absent comparison with formal interaction testing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Attempted only if aggregate data separately reporting outcomes on VKA, DOAC, and/or LMWH within both a cancer and a non-cancer stratum are identified in at least two independent comparative sources. As noted in Section 4.1, the pivotal high-risk APS RCTs (TRAPS, Ordi-Ros et al., ASTRO-APS) are understood, on standard trial-design grounds, to have restricted enrolment to patients without active malignancy — a point to be explicitly confirmed against each trial's published exclusion criteria once full texts are reviewed, rather than assumed. If confirmed, these three RCTs contribute no data toward a treatment-by-cancer interaction test, and Tier 2 becomes dependent entirely on observational APS cohorts/registries that happen to report this specific cross-classification, which have not yet been identified. Where Tier 2 is achievable, the treatment × cancer-status interaction (and, where numbers allow, treatment × triple-positivity) will be tested directly as an interaction term, not inferred informally from within-stratum significance patterns, which do not themselves establish a subgroup difference.</w:t>
      </w:r>
    </w:p>
    <w:p>
      <w:pPr>
        <w:pStyle w:val="Heading3"/>
        <w:spacing w:after="120" w:before="200" w:line="360"/>
        <w:jc w:val="left"/>
      </w:pPr>
      <w:r>
        <w:rPr>
          <w:rFonts w:ascii="Times New Roman" w:cs="Times New Roman" w:eastAsia="Times New Roman" w:hAnsi="Times New Roman"/>
          <w:b/>
          <w:bCs/>
          <w:i/>
          <w:iCs/>
          <w:sz w:val="24"/>
          <w:szCs w:val="24"/>
        </w:rPr>
        <w:t xml:space="preserve">Tier 3 (aspirational, beyond the scope of this review): individual patient data meta-analysis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An individual patient data (IPD) meta-analysis modelling treatment × cancer, treatment × triple positivity, and their interaction, adjusting for age, sex, arterial-versus-venous index event, prior recurrence, tumour type/stage, active oncological treatment, and platelet count, would represent the methodologically strongest possible answer to the research question — particularly because the cancer-plus-triple-positive subgroup is likely to be small and cross-classifications of interest are unlikely to be published in aggregate form. Assembling it would require direct collaboration with the investigators of the existing RCTs and of major APS registries (e.g., APS ACTION). This is listed in the Research Agenda (Section 4.3) as a future collaborative initiative rather than a deliverable of the present review.</w:t>
      </w:r>
    </w:p>
    <w:p>
      <w:pPr>
        <w:pStyle w:val="Heading3"/>
        <w:spacing w:after="120" w:before="200" w:line="360"/>
        <w:jc w:val="left"/>
      </w:pPr>
      <w:r>
        <w:rPr>
          <w:rFonts w:ascii="Times New Roman" w:cs="Times New Roman" w:eastAsia="Times New Roman" w:hAnsi="Times New Roman"/>
          <w:b/>
          <w:bCs/>
          <w:i/>
          <w:iCs/>
          <w:sz w:val="24"/>
          <w:szCs w:val="24"/>
        </w:rPr>
        <w:t xml:space="preserve">Statistical methods applying if Tier 1 or Tier 2 proceeds</w:t>
      </w:r>
    </w:p>
    <w:p>
      <w:pPr>
        <w:pStyle w:val="ListParagraph"/>
        <w:numPr>
          <w:ilvl w:val="0"/>
          <w:numId w:val="2"/>
        </w:numPr>
        <w:spacing w:after="120" w:line="360"/>
      </w:pPr>
      <w:r>
        <w:rPr>
          <w:rFonts w:ascii="Times New Roman" w:cs="Times New Roman" w:eastAsia="Times New Roman" w:hAnsi="Times New Roman"/>
          <w:sz w:val="24"/>
          <w:szCs w:val="24"/>
        </w:rPr>
        <w:t xml:space="preserve">Outcome hierarchy: primary efficacy = recurrent thrombosis, analysed separately for venous and arterial events and never pooled together, since treatment effects and recurrence risk in high-risk APS are expected to differ by event type; primary safety = ISTH major bleeding. Secondary: clinically relevant non-major bleeding, all-cause mortality, treatment discontinuation/switching.</w:t>
      </w:r>
    </w:p>
    <w:p>
      <w:pPr>
        <w:pStyle w:val="ListParagraph"/>
        <w:numPr>
          <w:ilvl w:val="0"/>
          <w:numId w:val="2"/>
        </w:numPr>
        <w:spacing w:after="120" w:line="360"/>
      </w:pPr>
      <w:r>
        <w:rPr>
          <w:rFonts w:ascii="Times New Roman" w:cs="Times New Roman" w:eastAsia="Times New Roman" w:hAnsi="Times New Roman"/>
          <w:sz w:val="24"/>
          <w:szCs w:val="24"/>
        </w:rPr>
        <w:t xml:space="preserve">Effect measures: hazard ratio (HR) preferred where time-to-event data are available; risk ratio (RR) for dichotomous outcomes without survival data; odds ratio (OR) only if neither is reported. HR and RR/OR will not be pooled together within the same analysis.</w:t>
      </w:r>
    </w:p>
    <w:p>
      <w:pPr>
        <w:pStyle w:val="ListParagraph"/>
        <w:numPr>
          <w:ilvl w:val="0"/>
          <w:numId w:val="2"/>
        </w:numPr>
        <w:spacing w:after="120" w:line="360"/>
      </w:pPr>
      <w:r>
        <w:rPr>
          <w:rFonts w:ascii="Times New Roman" w:cs="Times New Roman" w:eastAsia="Times New Roman" w:hAnsi="Times New Roman"/>
          <w:sz w:val="24"/>
          <w:szCs w:val="24"/>
        </w:rPr>
        <w:t xml:space="preserve">Rare events (e.g., arterial thrombosis, major bleeding in small strata): the routine 0.5 continuity correction will be avoided; Mantel-Haenszel without correction, Peto's method where arm sizes are approximately balanced, or a generalised linear mixed/binomial-normal model will be used as appropriate, with sensitivity analyses comparing methods for zero-event studies.</w:t>
      </w:r>
    </w:p>
    <w:p>
      <w:pPr>
        <w:pStyle w:val="ListParagraph"/>
        <w:numPr>
          <w:ilvl w:val="0"/>
          <w:numId w:val="2"/>
        </w:numPr>
        <w:spacing w:after="120" w:line="360"/>
      </w:pPr>
      <w:r>
        <w:rPr>
          <w:rFonts w:ascii="Times New Roman" w:cs="Times New Roman" w:eastAsia="Times New Roman" w:hAnsi="Times New Roman"/>
          <w:sz w:val="24"/>
          <w:szCs w:val="24"/>
        </w:rPr>
        <w:t xml:space="preserve">Model: random-effects, between-study variance (τ²) estimated by REML, with the Hartung-Knapp-Sidik-Jonkman adjustment to the confidence interval given the anticipated small number of contributing studies. Every pooled estimate will report the point estimate with 95% CI, τ², I², and the 95% prediction interval — the last of these particularly important here, since a favourable average effect can still conceal implausible-to-harmful effects in some plausible clinical contexts.</w:t>
      </w:r>
    </w:p>
    <w:p>
      <w:pPr>
        <w:pStyle w:val="ListParagraph"/>
        <w:numPr>
          <w:ilvl w:val="0"/>
          <w:numId w:val="2"/>
        </w:numPr>
        <w:spacing w:after="120" w:line="360"/>
      </w:pPr>
      <w:r>
        <w:rPr>
          <w:rFonts w:ascii="Times New Roman" w:cs="Times New Roman" w:eastAsia="Times New Roman" w:hAnsi="Times New Roman"/>
          <w:sz w:val="24"/>
          <w:szCs w:val="24"/>
        </w:rPr>
        <w:t xml:space="preserve">RCTs and observational studies (cohorts, registries) will be pooled separately as the primary analyses; a combined estimate will be presented only as a sensitivity analysis, given their differing susceptibility to confounding by indication. Risk of bias: RoB 2 for RCTs, ROBINS-I for observational studies. GRADE certainty rated separately for each primary and secondary outcome.</w:t>
      </w:r>
    </w:p>
    <w:p>
      <w:pPr>
        <w:pStyle w:val="ListParagraph"/>
        <w:numPr>
          <w:ilvl w:val="0"/>
          <w:numId w:val="2"/>
        </w:numPr>
        <w:spacing w:after="120" w:line="360"/>
      </w:pPr>
      <w:r>
        <w:rPr>
          <w:rFonts w:ascii="Times New Roman" w:cs="Times New Roman" w:eastAsia="Times New Roman" w:hAnsi="Times New Roman"/>
          <w:sz w:val="24"/>
          <w:szCs w:val="24"/>
        </w:rPr>
        <w:t xml:space="preserve">Pre-specified effect modifiers/subgroups (fixed and minimal, to avoid data-driven subgroup proliferation): triple-positive vs. non-triple-positive aPL profile; active malignancy present vs. absent; arterial vs. venous index event; specific DOAC agent (rivaroxaban vs. other DOACs) where reported; VKA intensity (INR 2.0–3.0 vs. higher-intensity regimens); RCT vs. observational design.</w:t>
      </w:r>
    </w:p>
    <w:p>
      <w:pPr>
        <w:pStyle w:val="ListParagraph"/>
        <w:numPr>
          <w:ilvl w:val="0"/>
          <w:numId w:val="2"/>
        </w:numPr>
        <w:spacing w:after="120" w:line="360"/>
      </w:pPr>
      <w:r>
        <w:rPr>
          <w:rFonts w:ascii="Times New Roman" w:cs="Times New Roman" w:eastAsia="Times New Roman" w:hAnsi="Times New Roman"/>
          <w:sz w:val="24"/>
          <w:szCs w:val="24"/>
        </w:rPr>
        <w:t xml:space="preserve">Network meta-analysis across VKA, DOAC, and LMWH is not planned by default: patients receiving LMWH in the available literature are drawn overwhelmingly from a cancer-associated-thrombosis indication systematically different from patients randomised to VKA/DOAC in APS trials, threatening the transitivity assumption a network model requires. A pairwise-only approach will be used unless a specific, separately justified transitivity assessment supports extending to a network model.</w:t>
      </w:r>
    </w:p>
    <w:p>
      <w:pPr>
        <w:pStyle w:val="ListParagraph"/>
        <w:numPr>
          <w:ilvl w:val="0"/>
          <w:numId w:val="2"/>
        </w:numPr>
        <w:spacing w:after="120" w:line="360"/>
      </w:pPr>
      <w:r>
        <w:rPr>
          <w:rFonts w:ascii="Times New Roman" w:cs="Times New Roman" w:eastAsia="Times New Roman" w:hAnsi="Times New Roman"/>
          <w:sz w:val="24"/>
          <w:szCs w:val="24"/>
        </w:rPr>
        <w:t xml:space="preserve">Meta-regression will be considered only as an exploratory, hypothesis-generating analysis, and only if at least 8–10 contributing datasets are available, given the recognised risk of ecological bias and overfitting with aggregate-data meta-regression on fewer studies; it will not substitute for the pre-specified subgroup/interaction analyses above.</w:t>
      </w:r>
    </w:p>
    <w:p>
      <w:pPr>
        <w:pStyle w:val="ListParagraph"/>
        <w:numPr>
          <w:ilvl w:val="0"/>
          <w:numId w:val="2"/>
        </w:numPr>
        <w:spacing w:after="120" w:line="360"/>
      </w:pPr>
      <w:r>
        <w:rPr>
          <w:rFonts w:ascii="Times New Roman" w:cs="Times New Roman" w:eastAsia="Times New Roman" w:hAnsi="Times New Roman"/>
          <w:sz w:val="24"/>
          <w:szCs w:val="24"/>
        </w:rPr>
        <w:t xml:space="preserve">A descriptive incidence-rate synthesis (events per 100 patient-years by anticoagulant strategy in the oncological APS population) may additionally be reported for context, but will be explicitly labelled as hypothesis-generating and confounded by indication, not as a comparative efficacy or safety estimate.</w:t>
      </w:r>
    </w:p>
    <w:p>
      <w:pPr>
        <w:pStyle w:val="ListParagraph"/>
        <w:numPr>
          <w:ilvl w:val="0"/>
          <w:numId w:val="2"/>
        </w:numPr>
        <w:spacing w:after="120" w:line="360"/>
      </w:pPr>
      <w:r>
        <w:rPr>
          <w:rFonts w:ascii="Times New Roman" w:cs="Times New Roman" w:eastAsia="Times New Roman" w:hAnsi="Times New Roman"/>
          <w:sz w:val="24"/>
          <w:szCs w:val="24"/>
        </w:rPr>
        <w:t xml:space="preserve">Every pooled relative effect will be translated into an absolute-effect estimate (e.g., events avoided or incurred per 1,000 patients treated), using a representative baseline risk drawn from the included studies, to support clinical interpretability.</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3. Results</w:t>
      </w:r>
    </w:p>
    <w:p>
      <w:pPr>
        <w:spacing w:after="200" w:before="0" w:line="360"/>
        <w:jc w:val="both"/>
      </w:pPr>
      <w:r>
        <w:rPr>
          <w:rFonts w:ascii="Times New Roman" w:cs="Times New Roman" w:eastAsia="Times New Roman" w:hAnsi="Times New Roman"/>
          <w:b w:val="false"/>
          <w:bCs w:val="false"/>
          <w:i/>
          <w:iCs/>
          <w:sz w:val="22"/>
          <w:szCs w:val="22"/>
        </w:rPr>
        <w:t xml:space="preserve">[This section is a placeholder skeleton. It will be populated once the searches described in Section 2.3 have been run against the databases and screened. Sections 3.1–3.5 below indicate the intended structure and the tables/figures to be generated.]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3.1 Study selection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[Insert PRISMA-ScR flow diagram: records identified, duplicates removed, records screened, full texts assessed, studies included, with reasons for exclusion at full-text stage.]</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3.2 Characteristics of included sources of evidence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[Insert summary table: first author, year, country, design, population (A/B/C), sample size, tumour type(s), aPL profile, anticoagulant strategy, outcomes reported, follow-up duration.]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3.3 Terminology and case definitions across included studies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[Narrative summary of how consistently — or inconsistently — included studies define aPL positivity, APS, and triple positivity, and the implications for comparability.]</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3.4 Mapping of populations A, B, and C</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[Quantify how many included studies/patients fall into population A (oncological patients with simple aPL positivity), B (oncological patients with defined APS), and C (oncological patients with high-risk/triple-positive APS), and identify where population C data are absent or limited to single cases.]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3.5 Anticoagulant strategies and outcomes reported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[Descriptive, non-pooled synthesis of anticoagulant choices, switching strategies, and thrombotic/haemorrhagic outcomes reported, stratified by population A/B/C where possible.]</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4. Discussion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4.1 Two guideline universes that do not intersect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findings summarised in Section 1 and mapped in Section 3 illustrate a structural gap rather than a simple absence of data: the APS literature and the cancer-associated thrombosis literature have each matured independently, with robust randomized evidence internal to each field, but essentially no evidence generated at their intersection. This is not attributable to oversight so much as to trial design — RCTs of anticoagulation in APS have systematically enrolled patients without active malignancy (a common, often explicit, exclusion criterion), while RCTs and large cohorts underlying cancer-associated thrombosis guidelines have not documented or stratified by aPL/APS status. The result is that any anticoagulant decision made today in a patient with high-risk APS and active cancer is, by necessity, an extrapolation from two literatures that were never designed to speak to one another.</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4.2 A scenario-based clinical framework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framework below organises the decision-making problem by clinical scenario rather than by drug class, since the practical challenge described by clinicians managing these patients is less “which drug is superior” than “which drug remains feasible and acceptably safe under this specific set of circumstances”. For each scenario, the evidentiary basis is graded per the scheme in Section 2.6.</w:t>
      </w:r>
    </w:p>
    <w:p>
      <w:pPr>
        <w:pStyle w:val="Heading3"/>
        <w:spacing w:after="120" w:before="200" w:line="360"/>
        <w:jc w:val="left"/>
      </w:pPr>
      <w:r>
        <w:rPr>
          <w:rFonts w:ascii="Times New Roman" w:cs="Times New Roman" w:eastAsia="Times New Roman" w:hAnsi="Times New Roman"/>
          <w:b/>
          <w:bCs/>
          <w:i/>
          <w:iCs/>
          <w:sz w:val="24"/>
          <w:szCs w:val="24"/>
        </w:rPr>
        <w:t xml:space="preserve">4.2.1 Clinically stable patient, adequate oral intake, no acute oncological toxicity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 a patient with high-risk/triple-positive APS whose oncological disease and treatment are not currently affecting gastrointestinal function, nutritional intake, or platelet count, the randomized evidence generated in APS populations without active cancer [1–4] provides direct guidance in favour of VKA therapy, with the important caveat that these trials did not include oncological patients and thus this remains, strictly speaking, evidence extrapolated across a stable-disease boundary rather than fully direct evidence for the combined population. [Grading: indirect/extrapolated — high-quality APS evidence, no cancer-specific validation.]</w:t>
      </w:r>
    </w:p>
    <w:p>
      <w:pPr>
        <w:pStyle w:val="Heading3"/>
        <w:spacing w:after="120" w:before="200" w:line="360"/>
        <w:jc w:val="left"/>
      </w:pPr>
      <w:r>
        <w:rPr>
          <w:rFonts w:ascii="Times New Roman" w:cs="Times New Roman" w:eastAsia="Times New Roman" w:hAnsi="Times New Roman"/>
          <w:b/>
          <w:bCs/>
          <w:i/>
          <w:iCs/>
          <w:sz w:val="24"/>
          <w:szCs w:val="24"/>
        </w:rPr>
        <w:t xml:space="preserve">4.2.2 Chemotherapy without significant mucositis or gastrointestinal toxicity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 the absence of mucositis, vomiting, or major changes in oral intake, the principal added consideration is drug–drug interaction via cytochrome P450 3A4 and P-glycoprotein pathways shared by several DOACs and chemotherapeutic, antiemetic, and supportive-care agents, as discussed in general reviews of anticoagulation strategy selection in cancer patients [19] and in a 2026 scientific statement on DOAC use in primary and secondary prevention of thrombotic events [22]. [Grading: indirect/extrapolated — evidence from general oncology anticoagulation literature [19,22], not from an APS-defined cancer population; expert opinion regarding net balance against APS-specific arterial risk.]</w:t>
      </w:r>
    </w:p>
    <w:p>
      <w:pPr>
        <w:pStyle w:val="Heading3"/>
        <w:spacing w:after="120" w:before="200" w:line="360"/>
        <w:jc w:val="left"/>
      </w:pPr>
      <w:r>
        <w:rPr>
          <w:rFonts w:ascii="Times New Roman" w:cs="Times New Roman" w:eastAsia="Times New Roman" w:hAnsi="Times New Roman"/>
          <w:b/>
          <w:bCs/>
          <w:i/>
          <w:iCs/>
          <w:sz w:val="24"/>
          <w:szCs w:val="24"/>
        </w:rPr>
        <w:t xml:space="preserve">4.2.3 Radiotherapy with anticipated or established mucositis, dysphagia, nausea or vomiting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Absorption of all currently available DOACs depends on gastrointestinal integrity; apixaban, rivaroxaban, and edoxaban are absorbed predominantly in the stomach and proximal small bowel (apixaban also to a lesser extent in the proximal colon), while dabigatran additionally requires an acidic gastric environment for prodrug conversion. Mucositis, dysphagia, and vomiting — common toxicities of head and neck radiotherapy and of several chemotherapy regimens — can plausibly compromise DOAC absorption and reliability, whereas LMWH, which does not depend on oral intake or gastrointestinal absorption, is unaffected by this specific mechanism. A dedicated practical review specifically addresses DOAC management in cancer patients with nausea or vomiting [20], and a retrospective evaluation of DOAC management strategies in patients with cancer on active chemotherapy found that nausea/vomiting infrequently led to DOAC discontinuation in practice (most patients were continued without modification), while still recommending close clinical surveillance [21]; a 2026 ACC scientific statement likewise notes a modestly higher bleeding-risk signal with DOACs relative to LMWH in patients with anorexia or vomiting [22]. [Grading: indirect/extrapolated — direct evidence exists for DOAC behaviour under nausea/vomiting/mucositis in general oncology populations [20,21,22], but not specifically in patients with high-risk/triple-positive APS.] For a patient with high-risk APS in this situation, LMWH represents a pragmatic option that avoids both the mucosal-absorption problem of DOACs and the food-and-intake dependency of VKA/INR stability, while direct comparative data confirming its efficacy specifically in high-risk/triple-positive APS remain absent, and the recommendation to favour LMWH over a DOAC in this scenario is, for the APS-specific component, still expert opinion/pathophysiological reasoning.</w:t>
      </w:r>
    </w:p>
    <w:p>
      <w:pPr>
        <w:pStyle w:val="Heading3"/>
        <w:spacing w:after="120" w:before="200" w:line="360"/>
        <w:jc w:val="left"/>
      </w:pPr>
      <w:r>
        <w:rPr>
          <w:rFonts w:ascii="Times New Roman" w:cs="Times New Roman" w:eastAsia="Times New Roman" w:hAnsi="Times New Roman"/>
          <w:b/>
          <w:bCs/>
          <w:i/>
          <w:iCs/>
          <w:sz w:val="24"/>
          <w:szCs w:val="24"/>
        </w:rPr>
        <w:t xml:space="preserve">4.2.4 Thrombocytopenia related to myelosuppressive chemotherapy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Cancer-associated thrombosis guidance provides algorithms for dose modification, transfusion support, or temporary use of a removable inferior vena cava filter according to platelet count and recency/recurrence of thrombosis [14]. No dedicated data address whether these thresholds should be modified for patients with high-risk/triple-positive APS, in whom the added arterial thrombotic risk and the specific hazard associated with sub-therapeutic anticoagulation may argue for a lower threshold for maintaining full-intensity anticoagulation with transfusion support. [Grading: extrapolated from cancer-associated thrombosis guidance [14]; expert opinion regarding APS-specific modification.]</w:t>
      </w:r>
    </w:p>
    <w:p>
      <w:pPr>
        <w:pStyle w:val="Heading3"/>
        <w:spacing w:after="120" w:before="200" w:line="360"/>
        <w:jc w:val="left"/>
      </w:pPr>
      <w:r>
        <w:rPr>
          <w:rFonts w:ascii="Times New Roman" w:cs="Times New Roman" w:eastAsia="Times New Roman" w:hAnsi="Times New Roman"/>
          <w:b/>
          <w:bCs/>
          <w:i/>
          <w:iCs/>
          <w:sz w:val="24"/>
          <w:szCs w:val="24"/>
        </w:rPr>
        <w:t xml:space="preserve">4.2.5 Invasive procedures and surgery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Periprocedural anticoagulation management in APS and in cancer-associated thrombosis have each been addressed separately in guidance documents [13,14], but no combined protocol exists. The theoretical concern specific to high-risk APS is that even brief interruption of anticoagulation may carry a disproportionate thrombotic risk relative to non-APS patients, a concern that is compounded, rather than resolved, by the procedural and nutritional disruptions typical of oncological surgery. [Grading: expert opinion — no direct or indirect quantitative data identified for the combined population.]</w:t>
      </w:r>
    </w:p>
    <w:p>
      <w:pPr>
        <w:pStyle w:val="Heading3"/>
        <w:spacing w:after="120" w:before="200" w:line="360"/>
        <w:jc w:val="left"/>
      </w:pPr>
      <w:r>
        <w:rPr>
          <w:rFonts w:ascii="Times New Roman" w:cs="Times New Roman" w:eastAsia="Times New Roman" w:hAnsi="Times New Roman"/>
          <w:b/>
          <w:bCs/>
          <w:i/>
          <w:iCs/>
          <w:sz w:val="24"/>
          <w:szCs w:val="24"/>
        </w:rPr>
        <w:t xml:space="preserve">4.2.6 Unstable INR / reduced time in therapeutic range during active treatment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Time in therapeutic range (TTR) is a recognised determinant of both thrombotic recurrence and bleeding risk in VKA-treated APS patients, and reliable INR monitoring in thrombotic APS carries specific, well-documented pitfalls — including lupus-anticoagulant interference with certain thromboplastin reagents — independently of any oncological factor [12]. Factors common during active cancer treatment — variable dietary vitamin K intake, antibiotic courses, hepatic dysfunction, and drug interactions — are separately recognised, non-APS-specific causes of reduced TTR. Whether the two sets of factors compound one another in oncological APS patients specifically has not, to our knowledge, been directly studied. [Grading: indirect/extrapolated — direct evidence on INR monitoring difficulty in thrombotic APS exists [12], but not combined with an oncological population; expert opinion for the combined effect.]</w:t>
      </w:r>
    </w:p>
    <w:p>
      <w:pPr>
        <w:pStyle w:val="Heading3"/>
        <w:spacing w:after="120" w:before="200" w:line="360"/>
        <w:jc w:val="left"/>
      </w:pPr>
      <w:r>
        <w:rPr>
          <w:rFonts w:ascii="Times New Roman" w:cs="Times New Roman" w:eastAsia="Times New Roman" w:hAnsi="Times New Roman"/>
          <w:b/>
          <w:bCs/>
          <w:i/>
          <w:iCs/>
          <w:sz w:val="24"/>
          <w:szCs w:val="24"/>
        </w:rPr>
        <w:t xml:space="preserve">4.2.7 Breakthrough (recurrent) thrombosis during anticoagulation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 cancer-associated thrombosis occurring despite therapeutic anticoagulation, a dedicated “How I Treat” analysis and NCCN guidance both provide structured algorithms according to the failing agent (e.g., switching from a reduced-dose to full-dose DOAC, switching class, or increasing LMWH frequency or dose) [14,23]. For breakthrough thrombosis in APS outside the oncological setting, guidance similarly favours optimisation or switching, generally toward or within VKA/heparin-based strategies rather than toward a DOAC [5,10,11]. In a patient with both conditions, applying the APS-oriented approach (favouring VKA/heparin-class escalation over DOAC initiation) appears the more conservative and mechanistically consistent choice, though this has not been directly tested. [Grading: indirect/extrapolated — direct, dedicated evidence exists for breakthrough thrombosis in cancer [14,23] and separately for breakthrough thrombosis in APS [5,10,11], but not for the combined population; expert opinion on reconciling the two approaches.]</w:t>
      </w:r>
    </w:p>
    <w:p>
      <w:pPr>
        <w:pStyle w:val="Heading3"/>
        <w:spacing w:after="120" w:before="200" w:line="360"/>
        <w:jc w:val="left"/>
      </w:pPr>
      <w:r>
        <w:rPr>
          <w:rFonts w:ascii="Times New Roman" w:cs="Times New Roman" w:eastAsia="Times New Roman" w:hAnsi="Times New Roman"/>
          <w:b/>
          <w:bCs/>
          <w:i/>
          <w:iCs/>
          <w:sz w:val="24"/>
          <w:szCs w:val="24"/>
        </w:rPr>
        <w:t xml:space="preserve">4.2.8 Major or clinically relevant non-major bleeding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randomized APS evidence found no significant difference in major bleeding between DOACs and VKAs [4]; cancer-associated thrombosis literature separately documents bleeding risk according to tumour site, thrombocytopenia, and agent class [REF]. No data address whether bleeding risk is additive, synergistic, or otherwise modified when both conditions coexist. [Grading: indirect evidence from two separate literatures; no direct data for the combined population.]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4.3 Research agenda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scenario-based framework above is, by design, heavily weighted toward extrapolation and expert opinion rather than direct evidence — a finding that is itself a principal result of this review. We propose that future research prioritise:</w:t>
      </w:r>
    </w:p>
    <w:p>
      <w:pPr>
        <w:pStyle w:val="ListParagraph"/>
        <w:numPr>
          <w:ilvl w:val="0"/>
          <w:numId w:val="2"/>
        </w:numPr>
        <w:spacing w:after="120" w:line="360"/>
      </w:pPr>
      <w:r>
        <w:rPr>
          <w:rFonts w:ascii="Times New Roman" w:cs="Times New Roman" w:eastAsia="Times New Roman" w:hAnsi="Times New Roman"/>
          <w:sz w:val="24"/>
          <w:szCs w:val="24"/>
        </w:rPr>
        <w:t xml:space="preserve">Prospective, multicentre registry data systematically capturing aPL profile (including full triple-positivity status) in patients with cancer-associated thrombosis, to establish the true prevalence and prognostic relevance of high-risk aPL profiles in this population.</w:t>
      </w:r>
    </w:p>
    <w:p>
      <w:pPr>
        <w:pStyle w:val="ListParagraph"/>
        <w:numPr>
          <w:ilvl w:val="0"/>
          <w:numId w:val="2"/>
        </w:numPr>
        <w:spacing w:after="120" w:line="360"/>
      </w:pPr>
      <w:r>
        <w:rPr>
          <w:rFonts w:ascii="Times New Roman" w:cs="Times New Roman" w:eastAsia="Times New Roman" w:hAnsi="Times New Roman"/>
          <w:sz w:val="24"/>
          <w:szCs w:val="24"/>
        </w:rPr>
        <w:t xml:space="preserve">Structured sub-group reporting of oncological status (active malignancy, treatment modality, treatment phase) within existing and future APS cohorts and registries (e.g., APS ACTION).</w:t>
      </w:r>
    </w:p>
    <w:p>
      <w:pPr>
        <w:pStyle w:val="ListParagraph"/>
        <w:numPr>
          <w:ilvl w:val="0"/>
          <w:numId w:val="2"/>
        </w:numPr>
        <w:spacing w:after="120" w:line="360"/>
      </w:pPr>
      <w:r>
        <w:rPr>
          <w:rFonts w:ascii="Times New Roman" w:cs="Times New Roman" w:eastAsia="Times New Roman" w:hAnsi="Times New Roman"/>
          <w:sz w:val="24"/>
          <w:szCs w:val="24"/>
        </w:rPr>
        <w:t xml:space="preserve">Standardised, ISTH-defined outcome reporting (recurrent VTE, arterial thrombosis, major bleeding, clinically relevant non-major bleeding, TTR where applicable) specifically in the combined population, to permit future meta-analysis once a sufficient number of comparable studies exist.</w:t>
      </w:r>
    </w:p>
    <w:p>
      <w:pPr>
        <w:pStyle w:val="ListParagraph"/>
        <w:numPr>
          <w:ilvl w:val="0"/>
          <w:numId w:val="2"/>
        </w:numPr>
        <w:spacing w:after="120" w:line="360"/>
      </w:pPr>
      <w:r>
        <w:rPr>
          <w:rFonts w:ascii="Times New Roman" w:cs="Times New Roman" w:eastAsia="Times New Roman" w:hAnsi="Times New Roman"/>
          <w:sz w:val="24"/>
          <w:szCs w:val="24"/>
        </w:rPr>
        <w:t xml:space="preserve">Explicit reporting, in future case reports and series, of oncological treatment phase and toxicity at the time of any thrombotic or haemorrhagic event, to allow scenario-specific signal detection of the type modelled in Section 4.2.</w:t>
      </w:r>
    </w:p>
    <w:p>
      <w:pPr>
        <w:pStyle w:val="ListParagraph"/>
        <w:numPr>
          <w:ilvl w:val="0"/>
          <w:numId w:val="2"/>
        </w:numPr>
        <w:spacing w:after="120" w:line="360"/>
      </w:pPr>
      <w:r>
        <w:rPr>
          <w:rFonts w:ascii="Times New Roman" w:cs="Times New Roman" w:eastAsia="Times New Roman" w:hAnsi="Times New Roman"/>
          <w:sz w:val="24"/>
          <w:szCs w:val="24"/>
        </w:rPr>
        <w:t xml:space="preserve">As the methodologically strongest future step, a collaborative individual patient data (IPD) meta-analysis bringing together the investigators of the existing high-risk APS RCTs (TRAPS, Ordi-Ros et al., ASTRO-APS) and major APS registries (e.g., APS ACTION), specifically to model treatment × cancer-status and treatment × triple-positivity interactions with adjustment for arterial/venous index event, prior recurrence, tumour type/stage, active oncological treatment, and platelet count — see Section 2.7, Tier 3. This exceeds the scope of the present review but is, in our assessment, the only design realistically capable of answering the research question with the precision the clinical problem deserves.</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5. Limitations</w:t>
      </w:r>
    </w:p>
    <w:p>
      <w:pPr>
        <w:pStyle w:val="ListParagraph"/>
        <w:numPr>
          <w:ilvl w:val="0"/>
          <w:numId w:val="2"/>
        </w:numPr>
        <w:spacing w:after="120" w:line="360"/>
      </w:pPr>
      <w:r>
        <w:rPr>
          <w:rFonts w:ascii="Times New Roman" w:cs="Times New Roman" w:eastAsia="Times New Roman" w:hAnsi="Times New Roman"/>
          <w:sz w:val="24"/>
          <w:szCs w:val="24"/>
        </w:rPr>
        <w:t xml:space="preserve">As a scoping review, this work is not designed to, and will not, provide a pooled quantitative estimate of comparative efficacy or safety between anticoagulant strategies; readers should not interpret the clinical framework in Section 4.2 as equivalent in evidentiary strength to a systematic review with meta-analysis.</w:t>
      </w:r>
    </w:p>
    <w:p>
      <w:pPr>
        <w:pStyle w:val="ListParagraph"/>
        <w:numPr>
          <w:ilvl w:val="0"/>
          <w:numId w:val="2"/>
        </w:numPr>
        <w:spacing w:after="120" w:line="360"/>
      </w:pPr>
      <w:r>
        <w:rPr>
          <w:rFonts w:ascii="Times New Roman" w:cs="Times New Roman" w:eastAsia="Times New Roman" w:hAnsi="Times New Roman"/>
          <w:sz w:val="24"/>
          <w:szCs w:val="24"/>
        </w:rPr>
        <w:t xml:space="preserve">The clinical framework relies substantially on extrapolation from two literatures (APS-specific and cancer-associated thrombosis–specific) that were not designed to inform management of the combined population, and on expert reasoning where neither literature applies; this is stated explicitly for each scenario in Section 4.2 rather than implied.</w:t>
      </w:r>
    </w:p>
    <w:p>
      <w:pPr>
        <w:pStyle w:val="ListParagraph"/>
        <w:numPr>
          <w:ilvl w:val="0"/>
          <w:numId w:val="2"/>
        </w:numPr>
        <w:spacing w:after="120" w:line="360"/>
      </w:pPr>
      <w:r>
        <w:rPr>
          <w:rFonts w:ascii="Times New Roman" w:cs="Times New Roman" w:eastAsia="Times New Roman" w:hAnsi="Times New Roman"/>
          <w:sz w:val="24"/>
          <w:szCs w:val="24"/>
        </w:rPr>
        <w:t xml:space="preserve">Publication and reporting bias likely affects the case report/case series literature underlying population C (oncological patients with high-risk/triple-positive APS) most severely, as unusual or dramatic presentations are more likely to be reported than uneventful management.</w:t>
      </w:r>
    </w:p>
    <w:p>
      <w:pPr>
        <w:pStyle w:val="ListParagraph"/>
        <w:numPr>
          <w:ilvl w:val="0"/>
          <w:numId w:val="2"/>
        </w:numPr>
        <w:spacing w:after="120" w:line="360"/>
      </w:pPr>
      <w:r>
        <w:rPr>
          <w:rFonts w:ascii="Times New Roman" w:cs="Times New Roman" w:eastAsia="Times New Roman" w:hAnsi="Times New Roman"/>
          <w:sz w:val="24"/>
          <w:szCs w:val="24"/>
        </w:rPr>
        <w:t xml:space="preserve">[Additional limitations to be completed once the search and charting process is finalised — e.g., language restrictions, grey literature coverage, inter-rater agreement at screening.]</w:t>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6. Conclusions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[Placeholder — to be finalised once Sections 3 and 4 are complete with the full literature base. Provisional conclusion, consistent with the feasibility analysis underlying this protocol: current evidence is insufficient to determine whether the presence of active malignancy should alter the choice, efficacy, or safety of anticoagulant therapy in patients with high-risk/triple-positive APS. Management in this setting is currently guided by extrapolation from two non-overlapping evidence bases and by expert opinion rather than by direct comparative data, a gap that this review aims to document systematically and for which a structured research agenda is proposed.]</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References</w:t>
      </w:r>
    </w:p>
    <w:p>
      <w:pPr>
        <w:spacing w:after="200" w:before="0" w:line="360"/>
        <w:jc w:val="both"/>
      </w:pPr>
      <w:r>
        <w:rPr>
          <w:rFonts w:ascii="Times New Roman" w:cs="Times New Roman" w:eastAsia="Times New Roman" w:hAnsi="Times New Roman"/>
          <w:b w:val="false"/>
          <w:bCs w:val="false"/>
          <w:i/>
          <w:iCs/>
          <w:sz w:val="22"/>
          <w:szCs w:val="22"/>
        </w:rPr>
        <w:t xml:space="preserve">The list below includes only sources whose existence was corroborated through literature search performed for this project. Full bibliographic details (complete author lists, exact volume/issue/page numbers, DOIs) should be verified against the original publications before submission — fields not independently confirmed are marked “[verify]”. Numbered [REF] placeholders in the text above correspond to sources not yet verified and should be completed once the corresponding full texts are supplied.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 Pengo V, et al. Rivaroxaban vs. warfarin in high-risk patients with antiphospholipid syndrome (TRAPS trial). Blood.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 Ordi-Ros J, et al. Rivaroxaban Versus Vitamin K Antagonist in Antiphospholipid Syndrome: A Randomized Trial. Ann Intern Med. 2019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3. Woller SC, et al. Apixaban compared with warfarin to prevent thrombosis in thrombotic antiphospholipid syndrome: a randomized trial. Blood Adv. 2022;6(6):1661 [end page/author list: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4. Khairani CD, et al. Direct Oral Anticoagulants vs Vitamin K Antagonists in Patients With Antiphospholipid Syndromes: Meta-Analysis of Randomized Trials. J Am Coll Cardiol. 2023. DOI: 10.1016/j.jacc.2022.10.008 [full author list/pages: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5. Tektonidou MG, et al. EULAR recommendations for the management of antiphospholipid syndrome in adults. Ann Rheum Dis. 2019;78:1296–1304. PMID: 31092409.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6. [Cureus case report] Cancer History, Antiphospholipid Syndrome, and Lupus Anticoagulant: A Perfect Storm for Thrombosis. Cureus [author list/year/volume: verify; PMC11769576].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7. Impact of antiphospholipid antibodies on thrombotic events in ambulatory cancer patients. PLOS ONE. DOI: 10.1371/journal.pone.0279450 [author list/year: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8. Systematic review of observational studies reporting antiphospholipid antibodies in patients with solid tumors. Blood Adv. 2020;4(8):1746 [end page/author list: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9. Garcia D, Erkan D. Diagnosis and Management of the Antiphospholipid Syndrome. N Engl J Med.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10. Ruiz-Irastorza G, Tektonidou MG, Khamashta M. Anticoagulant and Non-Anticoagulant Therapy in Thrombotic Antiphospholipid Syndrome: Old Drugs and New Treatment Targets. Rheumatology (Oxford). 2024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11. Paredes-Ruiz D, Martin-Iglesias D, Ruiz-Irastorza G. Thrombotic Antiphospholipid Syndrome: From Guidelines to Clinical Management. Med Clin (Barc). 2024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12. Cohen H, Efthymiou M, Devreese KMJ. Monitoring of Anticoagulation in Thrombotic Antiphospholipid Syndrome. J Thromb Haemost. 2021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13. Stevens SM, Woller SC, Kreuziger LB, et al. Antithrombotic Therapy for VTE Disease: Second Update of the CHEST Guideline and Expert Panel Report. Chest. 2021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14. National Comprehensive Cancer Network. Cancer-Associated Venous Thromboembolic Disease [NCCN Clinical Practice Guidelines in Oncology]. Updated 2026-05-05 [full version/access date: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15. Farge D, Frere C, Connors JM, et al. 2022 International Clinical Practice Guidelines for the Treatment and Prophylaxis of Venous Thromboembolism in Patients With Cancer, Including Patients With COVID-19. Lancet Oncol. 2022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16. Farge D, Bounameaux H, Brenner B, et al. International Clinical Practice Guidelines Including Guidance for Direct Oral Anticoagulants in the Treatment and Prophylaxis of Venous Thromboembolism in Patients With Cancer. Lancet Oncol. 2016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17. Key NS, Khorana AA, Kuderer NM, et al. Venous Thromboembolism Prophylaxis and Treatment in Patients With Cancer: ASCO Guideline Update. J Clin Oncol. 2023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18. Lyon AR, López-Fernández T, Couch LS, et al. 2022 ESC Guidelines on Cardio-Oncology. Eur Heart J. 2022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19. Mosarla RC, Vaduganathan M, Qamar A, et al. Anticoagulation Strategies in Patients With Cancer: JACC Review Topic of the Week. J Am Coll Cardiol. 2019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20. Riess H, Ay C, Bauersachs R, et al. Use of Direct Oral Anticoagulants in Patients With Cancer: Practical Considerations for the Management of Patients With Nausea or Vomiting. Oncologist.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21. Tran E, Ledbetter LE. A Retrospective Evaluation of Direct Oral Anticoagulant (DOAC) Management Strategies in Patients With Cancer on Active Chemotherapy. J Thromb Thrombolysis. 2023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22. Direct Oral Anticoagulants in Primary and Secondary Prevention of Thrombotic Events: 2026 ACC Scientific Statement. J Am Coll Cardiol. 2026 [full author list/volume/issue/pages: verify — title truncated in source, to confirm].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23. Marx CE, Carrier M. How I Treat Breakthrough Thrombosis in Patients With Cancer. Blood. 2026 [volume/issue/pages: verify].</w:t>
      </w:r>
    </w:p>
    <w:p>
      <w:pPr>
        <w:spacing w:after="200" w:before="0" w:line="360"/>
        <w:jc w:val="both"/>
      </w:pPr>
      <w:r>
        <w:rPr>
          <w:rFonts w:ascii="Times New Roman" w:cs="Times New Roman" w:eastAsia="Times New Roman" w:hAnsi="Times New Roman"/>
          <w:b w:val="false"/>
          <w:bCs w:val="false"/>
          <w:i/>
          <w:iCs/>
          <w:sz w:val="24"/>
          <w:szCs w:val="24"/>
        </w:rPr>
        <w:t xml:space="preserve">References 9–23 above were supplied by the corresponding author from an OpenEvidence literature search; their existence is accepted on that basis, but full bibliographic details (exact volume/issue/page numbers, complete author lists, DOIs) have not been independently re-verified against the primary source in this session and should be checked when the full texts are reviewed.</w:t>
      </w:r>
    </w:p>
    <w:p>
      <w:pPr>
        <w:spacing w:after="200" w:before="0" w:line="360"/>
        <w:jc w:val="both"/>
      </w:pPr>
      <w:r>
        <w:rPr>
          <w:rFonts w:ascii="Times New Roman" w:cs="Times New Roman" w:eastAsia="Times New Roman" w:hAnsi="Times New Roman"/>
          <w:b w:val="false"/>
          <w:bCs w:val="false"/>
          <w:i/>
          <w:iCs/>
          <w:sz w:val="24"/>
          <w:szCs w:val="24"/>
        </w:rPr>
        <w:t xml:space="preserve">[Additional references still to be added: 2023 ACR/EULAR APS classification criteria; British Society for Haematology APS guideline; EMA/FDA safety communications on DOACs in APS; PRISMA-ScR statement (Tricco et al., 2018); JBI Manual for Evidence Synthesis (Peters et al.).]</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A. Inclusion and exclusion criteria (preliminary)</w:t>
      </w:r>
    </w:p>
    <w:p>
      <w:pPr>
        <w:pStyle w:val="Heading3"/>
        <w:spacing w:after="120" w:before="200" w:line="360"/>
        <w:jc w:val="left"/>
      </w:pPr>
      <w:r>
        <w:rPr>
          <w:rFonts w:ascii="Times New Roman" w:cs="Times New Roman" w:eastAsia="Times New Roman" w:hAnsi="Times New Roman"/>
          <w:b/>
          <w:bCs/>
          <w:i/>
          <w:iCs/>
          <w:sz w:val="24"/>
          <w:szCs w:val="24"/>
        </w:rPr>
        <w:t xml:space="preserve">Inclusion</w:t>
      </w:r>
    </w:p>
    <w:p>
      <w:pPr>
        <w:pStyle w:val="ListParagraph"/>
        <w:numPr>
          <w:ilvl w:val="0"/>
          <w:numId w:val="2"/>
        </w:numPr>
        <w:spacing w:after="120" w:line="360"/>
      </w:pPr>
      <w:r>
        <w:rPr>
          <w:rFonts w:ascii="Times New Roman" w:cs="Times New Roman" w:eastAsia="Times New Roman" w:hAnsi="Times New Roman"/>
          <w:sz w:val="24"/>
          <w:szCs w:val="24"/>
        </w:rPr>
        <w:t xml:space="preserve">Adult patients (≥18 years) with APS per recognised classification criteria, or with persistently positive aPL explicitly reported as single/double/triple positive.</w:t>
      </w:r>
    </w:p>
    <w:p>
      <w:pPr>
        <w:pStyle w:val="ListParagraph"/>
        <w:numPr>
          <w:ilvl w:val="0"/>
          <w:numId w:val="2"/>
        </w:numPr>
        <w:spacing w:after="120" w:line="360"/>
      </w:pPr>
      <w:r>
        <w:rPr>
          <w:rFonts w:ascii="Times New Roman" w:cs="Times New Roman" w:eastAsia="Times New Roman" w:hAnsi="Times New Roman"/>
          <w:sz w:val="24"/>
          <w:szCs w:val="24"/>
        </w:rPr>
        <w:t xml:space="preserve">Current or past diagnosis of solid or haematological malignancy.</w:t>
      </w:r>
    </w:p>
    <w:p>
      <w:pPr>
        <w:pStyle w:val="ListParagraph"/>
        <w:numPr>
          <w:ilvl w:val="0"/>
          <w:numId w:val="2"/>
        </w:numPr>
        <w:spacing w:after="120" w:line="360"/>
      </w:pPr>
      <w:r>
        <w:rPr>
          <w:rFonts w:ascii="Times New Roman" w:cs="Times New Roman" w:eastAsia="Times New Roman" w:hAnsi="Times New Roman"/>
          <w:sz w:val="24"/>
          <w:szCs w:val="24"/>
        </w:rPr>
        <w:t xml:space="preserve">Any reported anticoagulant management strategy and at least one thrombotic, haemorrhagic, or treatment-continuity outcome.</w:t>
      </w:r>
    </w:p>
    <w:p>
      <w:pPr>
        <w:pStyle w:val="ListParagraph"/>
        <w:numPr>
          <w:ilvl w:val="0"/>
          <w:numId w:val="2"/>
        </w:numPr>
        <w:spacing w:after="120" w:line="360"/>
      </w:pPr>
      <w:r>
        <w:rPr>
          <w:rFonts w:ascii="Times New Roman" w:cs="Times New Roman" w:eastAsia="Times New Roman" w:hAnsi="Times New Roman"/>
          <w:sz w:val="24"/>
          <w:szCs w:val="24"/>
        </w:rPr>
        <w:t xml:space="preserve">Any study design (RCT, cohort, registry, case series, case report), charted according to design.</w:t>
      </w:r>
    </w:p>
    <w:p>
      <w:pPr>
        <w:pStyle w:val="Heading3"/>
        <w:spacing w:after="120" w:before="200" w:line="360"/>
        <w:jc w:val="left"/>
      </w:pPr>
      <w:r>
        <w:rPr>
          <w:rFonts w:ascii="Times New Roman" w:cs="Times New Roman" w:eastAsia="Times New Roman" w:hAnsi="Times New Roman"/>
          <w:b/>
          <w:bCs/>
          <w:i/>
          <w:iCs/>
          <w:sz w:val="24"/>
          <w:szCs w:val="24"/>
        </w:rPr>
        <w:t xml:space="preserve">Exclusion</w:t>
      </w:r>
    </w:p>
    <w:p>
      <w:pPr>
        <w:pStyle w:val="ListParagraph"/>
        <w:numPr>
          <w:ilvl w:val="0"/>
          <w:numId w:val="2"/>
        </w:numPr>
        <w:spacing w:after="120" w:line="360"/>
      </w:pPr>
      <w:r>
        <w:rPr>
          <w:rFonts w:ascii="Times New Roman" w:cs="Times New Roman" w:eastAsia="Times New Roman" w:hAnsi="Times New Roman"/>
          <w:sz w:val="24"/>
          <w:szCs w:val="24"/>
        </w:rPr>
        <w:t xml:space="preserve">Isolated, non-persistent aPL positivity without confirmatory retesting.</w:t>
      </w:r>
    </w:p>
    <w:p>
      <w:pPr>
        <w:pStyle w:val="ListParagraph"/>
        <w:numPr>
          <w:ilvl w:val="0"/>
          <w:numId w:val="2"/>
        </w:numPr>
        <w:spacing w:after="120" w:line="360"/>
      </w:pPr>
      <w:r>
        <w:rPr>
          <w:rFonts w:ascii="Times New Roman" w:cs="Times New Roman" w:eastAsia="Times New Roman" w:hAnsi="Times New Roman"/>
          <w:sz w:val="24"/>
          <w:szCs w:val="24"/>
        </w:rPr>
        <w:t xml:space="preserve">Obstetric APS without a thrombotic component.</w:t>
      </w:r>
    </w:p>
    <w:p>
      <w:pPr>
        <w:pStyle w:val="ListParagraph"/>
        <w:numPr>
          <w:ilvl w:val="0"/>
          <w:numId w:val="2"/>
        </w:numPr>
        <w:spacing w:after="120" w:line="360"/>
      </w:pPr>
      <w:r>
        <w:rPr>
          <w:rFonts w:ascii="Times New Roman" w:cs="Times New Roman" w:eastAsia="Times New Roman" w:hAnsi="Times New Roman"/>
          <w:sz w:val="24"/>
          <w:szCs w:val="24"/>
        </w:rPr>
        <w:t xml:space="preserve">Cancer cohorts not reporting aPL/APS status.</w:t>
      </w:r>
    </w:p>
    <w:p>
      <w:pPr>
        <w:pStyle w:val="ListParagraph"/>
        <w:numPr>
          <w:ilvl w:val="0"/>
          <w:numId w:val="2"/>
        </w:numPr>
        <w:spacing w:after="120" w:line="360"/>
      </w:pPr>
      <w:r>
        <w:rPr>
          <w:rFonts w:ascii="Times New Roman" w:cs="Times New Roman" w:eastAsia="Times New Roman" w:hAnsi="Times New Roman"/>
          <w:sz w:val="24"/>
          <w:szCs w:val="24"/>
        </w:rPr>
        <w:t xml:space="preserve">Conference abstracts without extractable data.</w:t>
      </w:r>
    </w:p>
    <w:p>
      <w:pPr>
        <w:pStyle w:val="ListParagraph"/>
        <w:numPr>
          <w:ilvl w:val="0"/>
          <w:numId w:val="2"/>
        </w:numPr>
        <w:spacing w:after="120" w:line="360"/>
      </w:pPr>
      <w:r>
        <w:rPr>
          <w:rFonts w:ascii="Times New Roman" w:cs="Times New Roman" w:eastAsia="Times New Roman" w:hAnsi="Times New Roman"/>
          <w:sz w:val="24"/>
          <w:szCs w:val="24"/>
        </w:rPr>
        <w:t xml:space="preserve">Paediatric populations.</w:t>
      </w:r>
    </w:p>
    <w:p>
      <w:pPr>
        <w:pStyle w:val="ListParagraph"/>
        <w:numPr>
          <w:ilvl w:val="0"/>
          <w:numId w:val="2"/>
        </w:numPr>
        <w:spacing w:after="120" w:line="360"/>
      </w:pPr>
      <w:r>
        <w:rPr>
          <w:rFonts w:ascii="Times New Roman" w:cs="Times New Roman" w:eastAsia="Times New Roman" w:hAnsi="Times New Roman"/>
          <w:sz w:val="24"/>
          <w:szCs w:val="24"/>
        </w:rPr>
        <w:t xml:space="preserve">Reviews/editorials/commentaries without original data (tracked separately for citation purposes only).</w:t>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B. Data extraction variables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Category</w:t>
            </w:r>
          </w:p>
        </w:tc>
        <w:tc>
          <w:tcPr>
            <w:tcW w:type="dxa" w:w="68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Variables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Study identification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First author, year, journal, country, study design</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Population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 age, sex, APS classification criteria used, aPL profile (single/double/triple), LAC/aCL/anti-β2GPI titres, population group (A/B/C)</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Malignancy</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Tumour type, stage, active oncological treatment (chemotherapy/radiotherapy/targeted/immunotherapy), timing relative to APS diagnosis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Index event</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Thrombosis type (venous/arterial/microvascular), site, provoked vs. unprovoked</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Anticoagulant management</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Agent, dose, INR target if VKA, duration, switches performed and rationale</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Thrombotic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Recurrent VTE, recurrent arterial thrombosis, time to event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Haemorrhagic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Major bleeding (ISTH definition), clinically relevant non-major bleeding</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Other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Time in therapeutic range (if VKA), mortality, treatment discontinuation and reason, periprocedural management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Quality/bias indicators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Follow-up duration, losses to follow-up, funding source, conflicts of interest</w:t>
            </w:r>
          </w:p>
        </w:tc>
      </w:tr>
    </w:tbl>
    <w:p>
      <w:pPr>
        <w:spacing w:after="10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C. Working strategy and notes for the next session</w:t>
      </w:r>
    </w:p>
    <w:p>
      <w:pPr>
        <w:pStyle w:val="Heading3"/>
        <w:spacing w:after="120" w:before="200" w:line="360"/>
        <w:jc w:val="left"/>
      </w:pPr>
      <w:r>
        <w:rPr>
          <w:rFonts w:ascii="Times New Roman" w:cs="Times New Roman" w:eastAsia="Times New Roman" w:hAnsi="Times New Roman"/>
          <w:b/>
          <w:bCs/>
          <w:i/>
          <w:iCs/>
          <w:sz w:val="24"/>
          <w:szCs w:val="24"/>
        </w:rPr>
        <w:t xml:space="preserve">Two-track working strategy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Literature identified for this project (including case reports and case series) is logged patient-by-patient in a companion file, APS_Cancer_Literature_Tracker.xlsx, whose Dashboard tab auto-tallies the pre-specified pooling criteria set out in Section 2.6. The two tracks proceed in parallel and are not contingent on one another: (i) the scoping review and scenario-based clinical framework in Sections 3–4 are updated as each new source is charted, regardless of whether pooling ever becomes justified, and constitute the guaranteed deliverable of this project; (ii) a quantitative synthesis is added only if and when the tracker's Dashboard confirms the Section 2.6 criteria are met. This way, a negative or inconclusive feasibility verdict from the tracker does not cost the project its main output — it only determines whether Section 3 ends with a descriptive table or with an additional pooled-analysis subsection.</w:t>
      </w:r>
    </w:p>
    <w:p>
      <w:pPr>
        <w:pStyle w:val="Heading3"/>
        <w:spacing w:after="120" w:before="200" w:line="360"/>
        <w:jc w:val="left"/>
      </w:pPr>
      <w:r>
        <w:rPr>
          <w:rFonts w:ascii="Times New Roman" w:cs="Times New Roman" w:eastAsia="Times New Roman" w:hAnsi="Times New Roman"/>
          <w:b/>
          <w:bCs/>
          <w:i/>
          <w:iCs/>
          <w:sz w:val="24"/>
          <w:szCs w:val="24"/>
        </w:rPr>
        <w:t xml:space="preserve">Standing to-do list</w:t>
      </w:r>
    </w:p>
    <w:p>
      <w:pPr>
        <w:pStyle w:val="ListParagraph"/>
        <w:numPr>
          <w:ilvl w:val="0"/>
          <w:numId w:val="2"/>
        </w:numPr>
        <w:spacing w:after="120" w:line="360"/>
      </w:pPr>
      <w:r>
        <w:rPr>
          <w:rFonts w:ascii="Times New Roman" w:cs="Times New Roman" w:eastAsia="Times New Roman" w:hAnsi="Times New Roman"/>
          <w:sz w:val="24"/>
          <w:szCs w:val="24"/>
        </w:rPr>
        <w:t xml:space="preserve">Upload full texts of the studies referenced with [verify] or [REF] above so exact citations can be confirmed and completed.</w:t>
      </w:r>
    </w:p>
    <w:p>
      <w:pPr>
        <w:pStyle w:val="ListParagraph"/>
        <w:numPr>
          <w:ilvl w:val="0"/>
          <w:numId w:val="2"/>
        </w:numPr>
        <w:spacing w:after="120" w:line="360"/>
      </w:pPr>
      <w:r>
        <w:rPr>
          <w:rFonts w:ascii="Times New Roman" w:cs="Times New Roman" w:eastAsia="Times New Roman" w:hAnsi="Times New Roman"/>
          <w:sz w:val="24"/>
          <w:szCs w:val="24"/>
        </w:rPr>
        <w:t xml:space="preserve">Confirm authorship, affiliations, and corresponding author details for the title page.</w:t>
      </w:r>
    </w:p>
    <w:p>
      <w:pPr>
        <w:pStyle w:val="ListParagraph"/>
        <w:numPr>
          <w:ilvl w:val="0"/>
          <w:numId w:val="2"/>
        </w:numPr>
        <w:spacing w:after="120" w:line="360"/>
      </w:pPr>
      <w:r>
        <w:rPr>
          <w:rFonts w:ascii="Times New Roman" w:cs="Times New Roman" w:eastAsia="Times New Roman" w:hAnsi="Times New Roman"/>
          <w:sz w:val="24"/>
          <w:szCs w:val="24"/>
        </w:rPr>
        <w:t xml:space="preserve">Decide screening software (Rayyan/Covidence) and OSF registration details before finalising Section 2.</w:t>
      </w:r>
    </w:p>
    <w:p>
      <w:pPr>
        <w:pStyle w:val="ListParagraph"/>
        <w:numPr>
          <w:ilvl w:val="0"/>
          <w:numId w:val="2"/>
        </w:numPr>
        <w:spacing w:after="120" w:line="360"/>
      </w:pPr>
      <w:r>
        <w:rPr>
          <w:rFonts w:ascii="Times New Roman" w:cs="Times New Roman" w:eastAsia="Times New Roman" w:hAnsi="Times New Roman"/>
          <w:sz w:val="24"/>
          <w:szCs w:val="24"/>
        </w:rPr>
        <w:t xml:space="preserve">Each time the tracker is updated with new studies: (a) update Section 3 (Results) with the new study count and characteristics; (b) revisit Section 4.2 to upgrade any scenario's evidence grading from extrapolated/expert opinion to direct evidence wherever the new source applies; (c) re-check the Section 2.6 pooling criteria and, once met, draft the corresponding meta-analytic methods/results subsections.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2026-09-02T16:51:02.707Z</dcterms:created>
  <dcterms:modified xsi:type="dcterms:W3CDTF">2026-09-02T16:51:02.733Z</dcterms:modified>
</cp:coreProperties>
</file>

<file path=docProps/custom.xml><?xml version="1.0" encoding="utf-8"?>
<Properties xmlns="http://schemas.openxmlformats.org/officeDocument/2006/custom-properties" xmlns:vt="http://schemas.openxmlformats.org/officeDocument/2006/docPropsVTypes"/>
</file>