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36"/>
        </w:rPr>
        <w:t>Week 6 Ethical Reconnaissance (OSINT &amp; Nmap) Project Report</w:t>
      </w:r>
    </w:p>
    <w:p>
      <w:pPr>
        <w:pStyle w:val="Heading1"/>
      </w:pPr>
      <w:r>
        <w:t>Task A: Scope Note &amp; Authorization</w:t>
      </w:r>
    </w:p>
    <w:p>
      <w:r>
        <w:t>• Project Title: Week 6 Ethical Reconnaissance (OSINT &amp; Nmap) Project</w:t>
      </w:r>
    </w:p>
    <w:p>
      <w:r>
        <w:t xml:space="preserve">• Student Name: </w:t>
      </w:r>
      <w:r>
        <w:rPr>
          <w:b w:val="false"/>
          <w:i w:val="false"/>
          <w:strike w:val="false"/>
          <w:color w:val="000000"/>
          <w:sz w:val="24"/>
          <w:u w:val="none"/>
        </w:rPr>
        <w:t>D</w:t>
      </w:r>
      <w:r>
        <w:rPr>
          <w:b w:val="false"/>
          <w:i w:val="false"/>
          <w:strike w:val="false"/>
          <w:color w:val="000000"/>
          <w:sz w:val="24"/>
          <w:u w:val="none"/>
        </w:rPr>
        <w:t>a</w:t>
      </w:r>
      <w:r>
        <w:rPr>
          <w:b w:val="false"/>
          <w:i w:val="false"/>
          <w:strike w:val="false"/>
          <w:color w:val="000000"/>
          <w:sz w:val="24"/>
          <w:u w:val="none"/>
        </w:rPr>
        <w:t>n</w:t>
      </w:r>
      <w:r>
        <w:rPr>
          <w:b w:val="false"/>
          <w:i w:val="false"/>
          <w:strike w:val="false"/>
          <w:color w:val="000000"/>
          <w:sz w:val="24"/>
          <w:u w:val="none"/>
        </w:rPr>
        <w:t>j</w:t>
      </w:r>
      <w:r>
        <w:rPr>
          <w:b w:val="false"/>
          <w:i w:val="false"/>
          <w:strike w:val="false"/>
          <w:color w:val="000000"/>
          <w:sz w:val="24"/>
          <w:u w:val="none"/>
        </w:rPr>
        <w:t>u</w:t>
      </w:r>
      <w:r>
        <w:rPr>
          <w:b w:val="false"/>
          <w:i w:val="false"/>
          <w:strike w:val="false"/>
          <w:color w:val="000000"/>
          <w:sz w:val="24"/>
          <w:u w:val="none"/>
        </w:rPr>
        <w:t>ma</w:t>
      </w:r>
      <w:r>
        <w:rPr>
          <w:b w:val="false"/>
          <w:i w:val="false"/>
          <w:strike w:val="false"/>
          <w:color w:val="000000"/>
          <w:sz w:val="24"/>
          <w:u w:val="none"/>
        </w:rPr>
        <w:t xml:space="preserve"> </w:t>
      </w:r>
      <w:r>
        <w:rPr>
          <w:b w:val="false"/>
          <w:i w:val="false"/>
          <w:strike w:val="false"/>
          <w:color w:val="000000"/>
          <w:sz w:val="24"/>
          <w:u w:val="none"/>
        </w:rPr>
        <w:t>A</w:t>
      </w:r>
      <w:r>
        <w:rPr>
          <w:b w:val="false"/>
          <w:i w:val="false"/>
          <w:strike w:val="false"/>
          <w:color w:val="000000"/>
          <w:sz w:val="24"/>
          <w:u w:val="none"/>
        </w:rPr>
        <w:t>l</w:t>
      </w:r>
      <w:r>
        <w:rPr>
          <w:b w:val="false"/>
          <w:i w:val="false"/>
          <w:strike w:val="false"/>
          <w:color w:val="000000"/>
          <w:sz w:val="24"/>
          <w:u w:val="none"/>
        </w:rPr>
        <w:t>i</w:t>
      </w:r>
      <w:r>
        <w:rPr>
          <w:b w:val="false"/>
          <w:i w:val="false"/>
          <w:strike w:val="false"/>
          <w:color w:val="000000"/>
          <w:sz w:val="24"/>
          <w:u w:val="none"/>
        </w:rPr>
        <w:t>c</w:t>
      </w:r>
      <w:r>
        <w:rPr>
          <w:b w:val="false"/>
          <w:i w:val="false"/>
          <w:strike w:val="false"/>
          <w:color w:val="000000"/>
          <w:sz w:val="24"/>
          <w:u w:val="none"/>
        </w:rPr>
        <w:t>e</w:t>
      </w:r>
      <w:r>
        <w:rPr>
          <w:b w:val="false"/>
          <w:i w:val="false"/>
          <w:strike w:val="false"/>
          <w:color w:val="000000"/>
          <w:sz w:val="24"/>
          <w:u w:val="none"/>
        </w:rPr>
        <w:t xml:space="preserve"> </w:t>
      </w:r>
      <w:r>
        <w:rPr>
          <w:b w:val="false"/>
          <w:i w:val="false"/>
          <w:strike w:val="false"/>
          <w:color w:val="000000"/>
          <w:sz w:val="24"/>
          <w:u w:val="none"/>
        </w:rPr>
        <w:t>o</w:t>
      </w:r>
      <w:r>
        <w:rPr>
          <w:b w:val="false"/>
          <w:i w:val="false"/>
          <w:strike w:val="false"/>
          <w:color w:val="000000"/>
          <w:sz w:val="24"/>
          <w:u w:val="none"/>
        </w:rPr>
        <w:t>m</w:t>
      </w:r>
      <w:r>
        <w:rPr>
          <w:b w:val="false"/>
          <w:i w:val="false"/>
          <w:strike w:val="false"/>
          <w:color w:val="000000"/>
          <w:sz w:val="24"/>
          <w:u w:val="none"/>
        </w:rPr>
        <w:t>a</w:t>
      </w:r>
      <w:r>
        <w:rPr>
          <w:b w:val="false"/>
          <w:i w:val="false"/>
          <w:strike w:val="false"/>
          <w:color w:val="000000"/>
          <w:sz w:val="24"/>
          <w:u w:val="none"/>
        </w:rPr>
        <w:t>l</w:t>
      </w:r>
      <w:r>
        <w:rPr>
          <w:b w:val="false"/>
          <w:i w:val="false"/>
          <w:strike w:val="false"/>
          <w:color w:val="000000"/>
          <w:sz w:val="24"/>
          <w:u w:val="none"/>
        </w:rPr>
        <w:t>i</w:t>
      </w:r>
    </w:p>
    <w:p>
      <w:r>
        <w:t/>
      </w:r>
    </w:p>
    <w:p>
      <w:r>
        <w:t>• Organization (OSINT Target): Axia Hub (Public Footprint Analysis)</w:t>
      </w:r>
    </w:p>
    <w:p>
      <w:r>
        <w:t>• Network Scan Target: Axia Hub External Target (172.67.141.228 / axiahub.ng) — Per instructor guidance, network reconnaissance targets Axia Hub's live infrastructure.</w:t>
      </w:r>
    </w:p>
    <w:p>
      <w:r>
        <w:t>• Authorisation Status: Authorized via active IT internship placement at Axia Hub and explicit instructional approval from the course instructor.</w:t>
      </w:r>
    </w:p>
    <w:p>
      <w:r>
        <w:t>• Permitted Activities:</w:t>
        <w:br/>
        <w:t xml:space="preserve">  1. Passive collection of publicly available information (OSINT) regarding Axia Hub.</w:t>
        <w:br/>
        <w:t xml:space="preserve">  2. Execution of command-line reconnaissance and Nmap checks against the assigned target network scope.</w:t>
      </w:r>
    </w:p>
    <w:p>
      <w:r>
        <w:t>• Prohibited Activities: No unauthorized intrusion, destructive testing, or exceeding the explicit scope defined by the organization and instructor.</w:t>
      </w:r>
    </w:p>
    <w:p>
      <w:r>
        <w:t>• Date and Time of Practical Work: October 21-22, 2026</w:t>
      </w:r>
    </w:p>
    <w:p>
      <w:pPr>
        <w:pStyle w:val="Heading1"/>
      </w:pPr>
      <w:r>
        <w:t>Task B: OSINT Worksheet (Axia Hub)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Finding &amp; Title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Source &amp; URL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Date Collected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Limitation</w:t>
            </w:r>
          </w:p>
        </w:tc>
      </w:tr>
      <w:tr>
        <w:tc>
          <w:tcPr>
            <w:tcW w:type="dxa" w:w="1560"/>
          </w:tcPr>
          <w:p>
            <w:r>
              <w:t>1. Official Web Portal</w:t>
            </w:r>
          </w:p>
        </w:tc>
        <w:tc>
          <w:tcPr>
            <w:tcW w:type="dxa" w:w="1560"/>
          </w:tcPr>
          <w:p>
            <w:r>
              <w:t>Axia Hub operates a public web presence detailing tech courses and coworking spaces.</w:t>
            </w:r>
          </w:p>
        </w:tc>
        <w:tc>
          <w:tcPr>
            <w:tcW w:type="dxa" w:w="1560"/>
          </w:tcPr>
          <w:p>
            <w:r>
              <w:t>axiahub.org / axiahub.ng</w:t>
            </w:r>
          </w:p>
        </w:tc>
        <w:tc>
          <w:tcPr>
            <w:tcW w:type="dxa" w:w="1560"/>
          </w:tcPr>
          <w:p>
            <w:r>
              <w:t>Oct 21, 2026 (Published content date: Static / Undated)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Reflects static marketing data.</w:t>
            </w:r>
          </w:p>
        </w:tc>
      </w:tr>
      <w:tr>
        <w:tc>
          <w:tcPr>
            <w:tcW w:type="dxa" w:w="1560"/>
          </w:tcPr>
          <w:p>
            <w:r>
              <w:t>2. Physical Location</w:t>
            </w:r>
          </w:p>
        </w:tc>
        <w:tc>
          <w:tcPr>
            <w:tcW w:type="dxa" w:w="1560"/>
          </w:tcPr>
          <w:p>
            <w:r>
              <w:t>Lists headquarters at Top Floor, Old Nitel Building, Along Old Airport Jos Plateau.</w:t>
            </w:r>
          </w:p>
        </w:tc>
        <w:tc>
          <w:tcPr>
            <w:tcW w:type="dxa" w:w="1560"/>
          </w:tcPr>
          <w:p>
            <w:r>
              <w:t>Axia Hub Contact Page</w:t>
            </w:r>
          </w:p>
        </w:tc>
        <w:tc>
          <w:tcPr>
            <w:tcW w:type="dxa" w:w="1560"/>
          </w:tcPr>
          <w:p>
            <w:r>
              <w:t>Oct 21, 2026 (Published content date: Static / Undated)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Does not indicate server infrastructure.</w:t>
            </w:r>
          </w:p>
        </w:tc>
      </w:tr>
      <w:tr>
        <w:tc>
          <w:tcPr>
            <w:tcW w:type="dxa" w:w="1560"/>
          </w:tcPr>
          <w:p>
            <w:r>
              <w:t>3. Corporate Social Footprint</w:t>
            </w:r>
          </w:p>
        </w:tc>
        <w:tc>
          <w:tcPr>
            <w:tcW w:type="dxa" w:w="1560"/>
          </w:tcPr>
          <w:p>
            <w:r>
              <w:t>Highlights tech academy programs including Cybersecurity, Python, AI/ML, and Full Stack development.</w:t>
            </w:r>
          </w:p>
        </w:tc>
        <w:tc>
          <w:tcPr>
            <w:tcW w:type="dxa" w:w="1560"/>
          </w:tcPr>
          <w:p>
            <w:r>
              <w:t>Axia Hub Academy Portal</w:t>
            </w:r>
          </w:p>
        </w:tc>
        <w:tc>
          <w:tcPr>
            <w:tcW w:type="dxa" w:w="1560"/>
          </w:tcPr>
          <w:p>
            <w:r>
              <w:t>Oct 21, 2026 (Published content date: Static / Undated)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Public course pricing and timelines are subject to organizational updates.</w:t>
            </w:r>
          </w:p>
        </w:tc>
      </w:tr>
      <w:tr>
        <w:tc>
          <w:tcPr>
            <w:tcW w:type="dxa" w:w="1560"/>
          </w:tcPr>
          <w:p>
            <w:r>
              <w:t>4. Contact Channels</w:t>
            </w:r>
          </w:p>
        </w:tc>
        <w:tc>
          <w:tcPr>
            <w:tcW w:type="dxa" w:w="1560"/>
          </w:tcPr>
          <w:p>
            <w:r>
              <w:t>Exposes contact numbers (+234 903 520 8470) and course enrollment intake links.</w:t>
            </w:r>
          </w:p>
        </w:tc>
        <w:tc>
          <w:tcPr>
            <w:tcW w:type="dxa" w:w="1560"/>
          </w:tcPr>
          <w:p>
            <w:r>
              <w:t>Axia Hub Portal</w:t>
            </w:r>
          </w:p>
        </w:tc>
        <w:tc>
          <w:tcPr>
            <w:tcW w:type="dxa" w:w="1560"/>
          </w:tcPr>
          <w:p>
            <w:r>
              <w:t>Oct 21, 2026 (Published content date: Static / Undated)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General intake channels only.</w:t>
            </w:r>
          </w:p>
        </w:tc>
      </w:tr>
      <w:tr>
        <w:tc>
          <w:tcPr>
            <w:tcW w:type="dxa" w:w="1560"/>
          </w:tcPr>
          <w:p>
            <w:r>
              <w:t>5. Infrastructure Footprint</w:t>
            </w:r>
          </w:p>
        </w:tc>
        <w:tc>
          <w:tcPr>
            <w:tcW w:type="dxa" w:w="1560"/>
          </w:tcPr>
          <w:p>
            <w:r>
              <w:t>External DNS resolution mapping domain to Cloudflare-protected edge infrastructure.</w:t>
            </w:r>
          </w:p>
        </w:tc>
        <w:tc>
          <w:tcPr>
            <w:tcW w:type="dxa" w:w="1560"/>
          </w:tcPr>
          <w:p>
            <w:r>
              <w:t>DNS / Nmap Reconnaissance</w:t>
            </w:r>
          </w:p>
        </w:tc>
        <w:tc>
          <w:tcPr>
            <w:tcW w:type="dxa" w:w="1560"/>
          </w:tcPr>
          <w:p>
            <w:r>
              <w:t>Oct 21, 2026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Cloudflare edge shielding obscures direct backend server topologies.</w:t>
            </w:r>
          </w:p>
        </w:tc>
      </w:tr>
    </w:tbl>
    <w:p>
      <w:pPr>
        <w:pStyle w:val="Heading1"/>
      </w:pPr>
      <w:r>
        <w:t>Task C: Nmap Scan Commands &amp; Evidence Execution</w:t>
      </w:r>
    </w:p>
    <w:p>
      <w:r>
        <w:t>• Tool &amp; Version: Nmap version 7.94SVN running on Ubuntu WSL environment.</w:t>
      </w:r>
    </w:p>
    <w:p>
      <w:r>
        <w:t>• Command Execution:</w:t>
        <w:br/>
        <w:t xml:space="preserve">  1. ping -c 1 axiahub.ng (Resolved to 172.67.141.228)</w:t>
        <w:br/>
        <w:t xml:space="preserve">  2. nmap -sT -Pn -p 22,80,443 -oN nmap_axia.txt 172.67.141.228</w:t>
      </w:r>
    </w:p>
    <w:p>
      <w:r>
        <w:t>• Scan Parameters: Targeted Axia Hub's resolved external IP address (172.67.141.228) using TCP connect scan (-sT) and skipping host discovery (-Pn) to successfully bypass Cloudflare firewall ping blocks.</w:t>
      </w:r>
    </w:p>
    <w:p>
      <w:r>
        <w:br/>
        <w:t>--- Embedded Scan Evidence Screenshot ---</w:t>
      </w:r>
    </w:p>
    <w:p>
      <w:r>
        <w:t>Figure 1: Successful DNS Resolution and Nmap External Scan Output (172.67.141.228)</w:t>
      </w:r>
    </w:p>
    <w:p>
      <w:r>
        <w:drawing>
          <wp:inline xmlns:a="http://schemas.openxmlformats.org/drawingml/2006/main" xmlns:pic="http://schemas.openxmlformats.org/drawingml/2006/picture">
            <wp:extent cx="5486400" cy="3592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2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Task D: Interpretation of Nmap Scan Results</w:t>
      </w:r>
    </w:p>
    <w:p>
      <w:r>
        <w:t>• Target Scanned: Axia Hub external infrastructure (172.67.141.228 / axiahub.ng).</w:t>
      </w:r>
    </w:p>
    <w:p>
      <w:r>
        <w:t>• Port Status Summary:</w:t>
        <w:br/>
        <w:t xml:space="preserve">  - Port 22/tcp (ssh): Filtered (protected by firewall rules against direct public login).</w:t>
        <w:br/>
        <w:t xml:space="preserve">  - Port 80/tcp (http): Open (actively serving public web traffic).</w:t>
        <w:br/>
        <w:t xml:space="preserve">  - Port 443/tcp (https): Filtered (managed via secure Cloudflare edge proxy routing).</w:t>
      </w:r>
    </w:p>
    <w:p>
      <w:r>
        <w:t>• Security Insight: The scan confirms that Axia Hub's web infrastructure is fronted by a web application firewall / CDN (Cloudflare), which successfully shields internal backend services and properly filters sensitive management ports like SSH from unauthorized public exposure.</w:t>
      </w:r>
    </w:p>
    <w:p>
      <w:pPr>
        <w:pStyle w:val="Heading1"/>
      </w:pPr>
      <w:r>
        <w:t>Task E: Security Recommendations &amp; Personal Reflection</w:t>
      </w:r>
    </w:p>
    <w:p>
      <w:pPr>
        <w:pStyle w:val="Heading2"/>
      </w:pPr>
      <w:r>
        <w:t>Security Recommendations</w:t>
      </w:r>
    </w:p>
    <w:p>
      <w:r>
        <w:t>1. Perimeter Defense: Maintain strict firewall filtering on sensitive administrative ports (SSH/22) and rely solely on secure encrypted channels (HTTPS/443).</w:t>
        <w:br/>
        <w:t>2. CDN &amp; WAF Configuration: Ensure Cloudflare security rules and DDoS protection remain correctly configured to thwart malicious reconnaissance probes.</w:t>
        <w:br/>
        <w:t>3. Regular Audits: Perform routine external reconnaissance checks to verify that no unintended administration services are exposed to the public internet.</w:t>
      </w:r>
    </w:p>
    <w:p>
      <w:pPr>
        <w:pStyle w:val="Heading2"/>
      </w:pPr>
      <w:r>
        <w:t>Personal Reflection &amp; Internship Insights</w:t>
      </w:r>
    </w:p>
    <w:p>
      <w:r>
        <w:t>• Performing external reconnaissance against Axia Hub demonstrated how modern cloud-protected websites handle probe requests and firewall filtering.</w:t>
        <w:br/>
        <w:t>• Overcoming WSL socket constraints and firewall ping blocks using the -Pn and -sT flags provided valuable hands-on troubleshooting experience in network analysis.</w:t>
        <w:br/>
        <w:t>• Documenting both OSINT findings and live scan results reinforced the importance of structured reporting and evidence organization in professional cybersecurity assessments.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B6CB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