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300" w:after="100"/>
        <w:jc w:val="center"/>
        <w:rPr>
          <w:b/>
          <w:bCs/>
          <w:color w:val="000000"/>
          <w:sz w:val="24"/>
          <w:szCs w:val="24"/>
          <w:rFonts w:ascii="Arial" w:cs="Arial" w:eastAsia="Arial" w:hAnsi="Arial"/>
        </w:rPr>
      </w:pPr>
      <w:r>
        <w:t xml:space="preserve">Отчёт по проверке</w:t>
      </w:r>
    </w:p>
    <w:p>
      <w:pPr>
        <w:spacing w:before="100" w:after="100"/>
        <w:jc w:val="right"/>
        <w:rPr>
          <w:color w:val="666666"/>
          <w:sz w:val="14"/>
          <w:szCs w:val="14"/>
          <w:rFonts w:ascii="Arial" w:cs="Arial" w:eastAsia="Arial" w:hAnsi="Arial"/>
        </w:rPr>
      </w:pPr>
      <w:r>
        <w:t xml:space="preserve">Дата: 22 марта 2025 г.</w:t>
      </w:r>
    </w:p>
    <w:tbl>
      <w:tblPr>
        <w:tblW w:type="pct" w:w="100%"/>
        <w:tblBorders>
          <w:top w:val="single" w:color="000000" w:sz="2"/>
          <w:left w:val="single" w:color="cccccc" w:sz="1"/>
          <w:bottom w:val="single" w:color="000000" w:sz="2"/>
          <w:right w:val="single" w:color="cccccc" w:sz="1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3000"/>
          </w:tcPr>
          <w:p>
            <w:pPr>
              <w:pStyle w:val="Heading3"/>
              <w:shd w:fill="a3c4f3"/>
              <w:jc w:val="center"/>
              <w:rPr>
                <w:b/>
                <w:bCs/>
                <w:color w:val="000000"/>
                <w:sz w:val="14"/>
                <w:szCs w:val="14"/>
                <w:rFonts w:ascii="Arial" w:cs="Arial" w:eastAsia="Arial" w:hAnsi="Arial"/>
              </w:rPr>
            </w:pPr>
            <w:r>
              <w:t xml:space="preserve">Критерий</w:t>
            </w:r>
          </w:p>
        </w:tc>
        <w:tc>
          <w:tcPr>
            <w:tcW w:type="dxa" w:w="1500"/>
          </w:tcPr>
          <w:p>
            <w:pPr>
              <w:pStyle w:val="Heading3"/>
              <w:shd w:fill="a3c4f3"/>
              <w:jc w:val="center"/>
              <w:rPr>
                <w:b/>
                <w:bCs/>
                <w:color w:val="000000"/>
                <w:sz w:val="14"/>
                <w:szCs w:val="14"/>
                <w:rFonts w:ascii="Arial" w:cs="Arial" w:eastAsia="Arial" w:hAnsi="Arial"/>
              </w:rPr>
            </w:pPr>
            <w:r>
              <w:t xml:space="preserve">Баллы</w:t>
            </w:r>
          </w:p>
        </w:tc>
        <w:tc>
          <w:tcPr>
            <w:tcW w:type="dxa" w:w="4000"/>
          </w:tcPr>
          <w:p>
            <w:pPr>
              <w:pStyle w:val="Heading3"/>
              <w:shd w:fill="a3c4f3"/>
              <w:jc w:val="center"/>
              <w:rPr>
                <w:b/>
                <w:bCs/>
                <w:color w:val="000000"/>
                <w:sz w:val="14"/>
                <w:szCs w:val="14"/>
                <w:rFonts w:ascii="Arial" w:cs="Arial" w:eastAsia="Arial" w:hAnsi="Arial"/>
              </w:rPr>
            </w:pPr>
            <w:r>
              <w:t xml:space="preserve">Комментарий</w:t>
            </w:r>
          </w:p>
        </w:tc>
      </w:tr>
      <w:tr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Соответствие требованиям к отчету и правильность</w:t>
            </w:r>
          </w:p>
        </w:tc>
        <w:tc>
          <w:tcPr>
            <w:shd w:fill="f8f9fa"/>
          </w:tcPr>
          <w:p>
            <w:pPr>
              <w:spacing w:before="100" w:after="100"/>
              <w:jc w:val="center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3.5</w:t>
            </w:r>
          </w:p>
        </w:tc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Отчет соответствует большинству требований методички, однако имеются незначительные отклонения в структуре и оформлении. Некоторые пункты плана отсутствуют или недостаточно детализированы. Также обнаружены мелкие ошибки в формулировках и отсутствие ссылок на источники.</w:t>
            </w:r>
          </w:p>
        </w:tc>
      </w:tr>
      <w:tr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Ответы на контрольные вопросы</w:t>
            </w:r>
          </w:p>
        </w:tc>
        <w:tc>
          <w:tcPr>
            <w:shd w:fill="f8f9fa"/>
          </w:tcPr>
          <w:p>
            <w:pPr>
              <w:spacing w:before="100" w:after="100"/>
              <w:jc w:val="center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1.5</w:t>
            </w:r>
          </w:p>
        </w:tc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Вопросы решены правильно, но некоторые ответы требуют уточнения и более четкой формулировки. Есть ошибки в ответах на вопросы, касающихся характеристик диодов.</w:t>
            </w:r>
          </w:p>
        </w:tc>
      </w:tr>
      <w:tr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Качество оформления</w:t>
            </w:r>
          </w:p>
        </w:tc>
        <w:tc>
          <w:tcPr>
            <w:shd w:fill="f8f9fa"/>
          </w:tcPr>
          <w:p>
            <w:pPr>
              <w:spacing w:before="100" w:after="100"/>
              <w:jc w:val="center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0</w:t>
            </w:r>
          </w:p>
        </w:tc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Оформление отчета выполнено с нарушениями стандартов: отсутствует нумерация страниц, неправильно использованы аббревиатуры, неверно указаны единицы измерения.</w:t>
            </w:r>
          </w:p>
        </w:tc>
      </w:tr>
      <w:tr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Ответы на дополнительные вопросы</w:t>
            </w:r>
          </w:p>
        </w:tc>
        <w:tc>
          <w:tcPr>
            <w:shd w:fill="f8f9fa"/>
          </w:tcPr>
          <w:p>
            <w:pPr>
              <w:spacing w:before="100" w:after="100"/>
              <w:jc w:val="center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2.5</w:t>
            </w:r>
          </w:p>
        </w:tc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Дополнительные вопросы раскрыты частично, ответы нуждаются в уточнении и дополнении.</w:t>
            </w:r>
          </w:p>
        </w:tc>
      </w:tr>
    </w:tbl>
    <w:p>
      <w:pPr>
        <w:spacing w:before="200" w:after="200"/>
        <w:jc w:val="right"/>
        <w:rPr>
          <w:b/>
          <w:bCs/>
          <w:color w:val="000000"/>
          <w:sz w:val="16"/>
          <w:szCs w:val="16"/>
          <w:rFonts w:ascii="Arial" w:cs="Arial" w:eastAsia="Arial" w:hAnsi="Arial"/>
        </w:rPr>
      </w:pPr>
      <w:r>
        <w:t xml:space="preserve">Итоговый балл: 7.5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2025-03-22T16:51:48.600Z</dcterms:created>
  <dcterms:modified xsi:type="dcterms:W3CDTF">2025-03-22T16:51:48.600Z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