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77777777"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60173B22" w14:textId="1C36EFCE" w:rsidR="001C4754"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1C4754" w:rsidRPr="008315E9">
        <w:rPr>
          <w:rFonts w:ascii="Adobe Devanagari" w:hAnsi="Adobe Devanagari" w:cs="Times New Roman"/>
          <w:color w:val="000000"/>
        </w:rPr>
        <w:t>Range edges have long been of interest in the discipline of community ecology</w:t>
      </w:r>
      <w:r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t>particular</w:t>
      </w:r>
      <w:r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 Scientists have long observed the presence of species across an area, </w:t>
      </w:r>
      <w:commentRangeStart w:id="1"/>
      <w:r w:rsidR="001C4754" w:rsidRPr="008315E9">
        <w:rPr>
          <w:rFonts w:ascii="Adobe Devanagari" w:hAnsi="Adobe Devanagari" w:cs="Times New Roman"/>
          <w:color w:val="000000"/>
        </w:rPr>
        <w:t xml:space="preserve">and a petering out </w:t>
      </w:r>
      <w:r w:rsidR="00945E4D" w:rsidRPr="008315E9">
        <w:rPr>
          <w:rFonts w:ascii="Adobe Devanagari" w:hAnsi="Adobe Devanagari" w:cs="Times New Roman"/>
          <w:color w:val="000000"/>
        </w:rPr>
        <w:t xml:space="preserve">of species </w:t>
      </w:r>
      <w:commentRangeEnd w:id="1"/>
      <w:r w:rsidR="007C126C" w:rsidRPr="008315E9">
        <w:rPr>
          <w:rStyle w:val="CommentReference"/>
          <w:rFonts w:ascii="Adobe Devanagari" w:hAnsi="Adobe Devanagari"/>
        </w:rPr>
        <w:commentReference w:id="1"/>
      </w:r>
      <w:r w:rsidR="001C4754" w:rsidRPr="008315E9">
        <w:rPr>
          <w:rFonts w:ascii="Adobe Devanagari" w:hAnsi="Adobe Devanagari" w:cs="Times New Roman"/>
          <w:color w:val="000000"/>
        </w:rPr>
        <w:t xml:space="preserve">at latitudinal range limits. Seminal works have theorized about the different causes underlying the filtering out of a species at its range limit (Darwin 1859). </w:t>
      </w:r>
      <w:commentRangeStart w:id="2"/>
      <w:r w:rsidR="001C4754" w:rsidRPr="008315E9">
        <w:rPr>
          <w:rFonts w:ascii="Adobe Devanagari" w:hAnsi="Adobe Devanagari" w:cs="Times New Roman"/>
          <w:color w:val="000000"/>
        </w:rPr>
        <w:t>A fundamental tenet of community ecology is to determine the rules by which a community assembles</w:t>
      </w:r>
      <w:r w:rsidR="00B66BD5" w:rsidRPr="008315E9">
        <w:rPr>
          <w:rFonts w:ascii="Adobe Devanagari" w:hAnsi="Adobe Devanagari" w:cs="Times New Roman"/>
          <w:bCs/>
          <w:color w:val="000000"/>
        </w:rPr>
        <w:t>.</w:t>
      </w:r>
      <w:r w:rsidR="00B66BD5" w:rsidRPr="008315E9">
        <w:rPr>
          <w:rFonts w:ascii="Adobe Devanagari" w:hAnsi="Adobe Devanagari" w:cs="Times New Roman"/>
          <w:b/>
          <w:bCs/>
          <w:color w:val="000000"/>
        </w:rPr>
        <w:t xml:space="preserve"> </w:t>
      </w:r>
      <w:r w:rsidR="001C4754" w:rsidRPr="008315E9">
        <w:rPr>
          <w:rFonts w:ascii="Adobe Devanagari" w:hAnsi="Adobe Devanagari" w:cs="Times New Roman"/>
          <w:color w:val="000000"/>
        </w:rPr>
        <w:t>Community assembly is an ecological sorting process that filters out some species but allows others to survive (Ackerly 2003).</w:t>
      </w:r>
      <w:r w:rsidR="00945E4D" w:rsidRPr="008315E9">
        <w:rPr>
          <w:rFonts w:ascii="Adobe Devanagari" w:hAnsi="Adobe Devanagari" w:cs="Times New Roman"/>
          <w:color w:val="000000"/>
        </w:rPr>
        <w:t xml:space="preserve"> Two general processes have been proposed for community assembly: (1) habitat filtering that limits species’ life strategies, and (2) resource partitioning </w:t>
      </w:r>
      <w:r w:rsidR="0013564C" w:rsidRPr="008315E9">
        <w:rPr>
          <w:rFonts w:ascii="Adobe Devanagari" w:hAnsi="Adobe Devanagari" w:cs="Times New Roman"/>
          <w:color w:val="000000"/>
        </w:rPr>
        <w:t>that limits similarity in co-occurring species</w:t>
      </w:r>
      <w:r w:rsidR="00945E4D" w:rsidRPr="008315E9">
        <w:rPr>
          <w:rFonts w:ascii="Adobe Devanagari" w:hAnsi="Adobe Devanagari" w:cs="Times New Roman"/>
          <w:color w:val="000000"/>
        </w:rPr>
        <w:t xml:space="preserve"> (</w:t>
      </w:r>
      <w:r w:rsidR="00E72742" w:rsidRPr="008315E9">
        <w:rPr>
          <w:rFonts w:ascii="Adobe Devanagari" w:hAnsi="Adobe Devanagari" w:cs="Times New Roman"/>
          <w:color w:val="000000"/>
        </w:rPr>
        <w:t>Cornwell and Ackerly 2009)</w:t>
      </w:r>
      <w:r w:rsidR="00A369DE" w:rsidRPr="008315E9">
        <w:rPr>
          <w:rFonts w:ascii="Adobe Devanagari" w:hAnsi="Adobe Devanagari" w:cs="Times New Roman"/>
          <w:color w:val="000000"/>
        </w:rPr>
        <w:t>.</w:t>
      </w:r>
      <w:r w:rsidR="00995212"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Studies into species distributions aim to shed light on what factors specifically might cause the limitations of a species as a way to more fully understand the rules dictating </w:t>
      </w:r>
      <w:r w:rsidR="001C4754" w:rsidRPr="008315E9">
        <w:rPr>
          <w:rFonts w:ascii="Adobe Devanagari" w:hAnsi="Adobe Devanagari" w:cs="Times New Roman"/>
          <w:color w:val="000000"/>
        </w:rPr>
        <w:lastRenderedPageBreak/>
        <w:t>community assembly.</w:t>
      </w:r>
      <w:commentRangeEnd w:id="2"/>
      <w:r w:rsidR="007C126C" w:rsidRPr="008315E9">
        <w:rPr>
          <w:rStyle w:val="CommentReference"/>
          <w:rFonts w:ascii="Adobe Devanagari" w:hAnsi="Adobe Devanagari"/>
        </w:rPr>
        <w:commentReference w:id="2"/>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commentRangeStart w:id="3"/>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w:t>
      </w:r>
      <w:commentRangeEnd w:id="3"/>
      <w:r w:rsidR="00E232A6" w:rsidRPr="008315E9">
        <w:rPr>
          <w:rStyle w:val="CommentReference"/>
          <w:rFonts w:ascii="Adobe Devanagari" w:hAnsi="Adobe Devanagari"/>
        </w:rPr>
        <w:commentReference w:id="3"/>
      </w:r>
      <w:r w:rsidRPr="008315E9">
        <w:rPr>
          <w:rFonts w:ascii="Adobe Devanagari" w:hAnsi="Adobe Devanagari" w:cs="Times New Roman"/>
          <w:color w:val="000000"/>
        </w:rPr>
        <w:t>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30E10A7C" w14:textId="36AC8C00"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commentRangeStart w:id="4"/>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 </w:t>
      </w:r>
      <w:commentRangeEnd w:id="4"/>
      <w:r w:rsidR="00E232A6" w:rsidRPr="008315E9">
        <w:rPr>
          <w:rStyle w:val="CommentReference"/>
          <w:rFonts w:ascii="Adobe Devanagari" w:hAnsi="Adobe Devanagari"/>
        </w:rPr>
        <w:commentReference w:id="4"/>
      </w:r>
      <w:r w:rsidRPr="008315E9">
        <w:rPr>
          <w:rFonts w:ascii="Adobe Devanagari" w:hAnsi="Adobe Devanagari" w:cs="Times New Roman"/>
          <w:color w:val="000000"/>
        </w:rPr>
        <w:t>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w:t>
      </w:r>
      <w:commentRangeStart w:id="5"/>
      <w:r w:rsidRPr="008315E9">
        <w:rPr>
          <w:rFonts w:ascii="Adobe Devanagari" w:hAnsi="Adobe Devanagari" w:cs="Times New Roman"/>
          <w:color w:val="000000"/>
        </w:rPr>
        <w:t xml:space="preserve">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well as its potential for adaptation given a changing environment.</w:t>
      </w:r>
      <w:commentRangeEnd w:id="5"/>
      <w:r w:rsidR="00DE133B" w:rsidRPr="008315E9">
        <w:rPr>
          <w:rStyle w:val="CommentReference"/>
          <w:rFonts w:ascii="Adobe Devanagari" w:hAnsi="Adobe Devanagari"/>
        </w:rPr>
        <w:commentReference w:id="5"/>
      </w:r>
    </w:p>
    <w:p w14:paraId="22FC9D97"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commentRangeStart w:id="6"/>
      <w:r w:rsidRPr="008315E9">
        <w:rPr>
          <w:rFonts w:ascii="Adobe Devanagari" w:hAnsi="Adobe Devanagari" w:cs="Times New Roman"/>
          <w:i/>
          <w:color w:val="000000"/>
        </w:rPr>
        <w:t>Functional traits and niche differentiation</w:t>
      </w:r>
      <w:commentRangeEnd w:id="6"/>
      <w:r w:rsidR="00363011" w:rsidRPr="008315E9">
        <w:rPr>
          <w:rStyle w:val="CommentReference"/>
          <w:rFonts w:ascii="Adobe Devanagari" w:hAnsi="Adobe Devanagari"/>
        </w:rPr>
        <w:commentReference w:id="6"/>
      </w:r>
    </w:p>
    <w:p w14:paraId="1169F105" w14:textId="2F3754E6"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understand the resource partitioning within niches in plants, it has become common practice to use </w:t>
      </w:r>
      <w:commentRangeStart w:id="7"/>
      <w:r w:rsidRPr="008315E9">
        <w:rPr>
          <w:rFonts w:ascii="Adobe Devanagari" w:hAnsi="Adobe Devanagari" w:cs="Times New Roman"/>
          <w:color w:val="000000"/>
        </w:rPr>
        <w:t xml:space="preserve">functional traits </w:t>
      </w:r>
      <w:commentRangeEnd w:id="7"/>
      <w:r w:rsidR="00BF4175" w:rsidRPr="008315E9">
        <w:rPr>
          <w:rStyle w:val="CommentReference"/>
          <w:rFonts w:ascii="Adobe Devanagari" w:hAnsi="Adobe Devanagari"/>
        </w:rPr>
        <w:commentReference w:id="7"/>
      </w:r>
      <w:r w:rsidRPr="008315E9">
        <w:rPr>
          <w:rFonts w:ascii="Adobe Devanagari" w:hAnsi="Adobe Devanagari" w:cs="Times New Roman"/>
          <w:color w:val="000000"/>
        </w:rPr>
        <w:t xml:space="preserve">as a proxy for understanding possible life </w:t>
      </w:r>
      <w:ins w:id="8" w:author="Elizabeth Wolkovich" w:date="2016-12-11T17:51:00Z">
        <w:r w:rsidR="00DE133B" w:rsidRPr="008315E9">
          <w:rPr>
            <w:rFonts w:ascii="Adobe Devanagari" w:hAnsi="Adobe Devanagari" w:cs="Times New Roman"/>
            <w:color w:val="000000"/>
          </w:rPr>
          <w:t xml:space="preserve">history? </w:t>
        </w:r>
      </w:ins>
      <w:r w:rsidRPr="008315E9">
        <w:rPr>
          <w:rFonts w:ascii="Adobe Devanagari" w:hAnsi="Adobe Devanagari" w:cs="Times New Roman"/>
          <w:color w:val="000000"/>
        </w:rPr>
        <w:t>strategies of different species</w:t>
      </w:r>
      <w:ins w:id="9" w:author="Elizabeth Wolkovich" w:date="2016-12-11T17:51:00Z">
        <w:r w:rsidR="00DE133B" w:rsidRPr="008315E9">
          <w:rPr>
            <w:rFonts w:ascii="Adobe Devanagari" w:hAnsi="Adobe Devanagari" w:cs="Times New Roman"/>
            <w:color w:val="000000"/>
          </w:rPr>
          <w:t xml:space="preserve"> (ADD citation)</w:t>
        </w:r>
      </w:ins>
      <w:r w:rsidRPr="008315E9">
        <w:rPr>
          <w:rFonts w:ascii="Adobe Devanagari" w:hAnsi="Adobe Devanagari" w:cs="Times New Roman"/>
          <w:color w:val="000000"/>
        </w:rPr>
        <w:t xml:space="preserve">. Functional traits have become a useful tool in understanding the nature of the relationship between plants within their communities, as well as understanding the relationship between environment and community assembly. </w:t>
      </w:r>
      <w:commentRangeStart w:id="10"/>
      <w:r w:rsidRPr="008315E9">
        <w:rPr>
          <w:rFonts w:ascii="Adobe Devanagari" w:hAnsi="Adobe Devanagari" w:cs="Times New Roman"/>
          <w:color w:val="000000"/>
        </w:rPr>
        <w:t xml:space="preserve">Recent evidence has led to a shift away from the neutral model theory of general assembly (Hubbell 2001) towards the niche differentiation model (Kraft 2008). </w:t>
      </w:r>
      <w:commentRangeEnd w:id="10"/>
      <w:r w:rsidR="00DE133B" w:rsidRPr="008315E9">
        <w:rPr>
          <w:rStyle w:val="CommentReference"/>
          <w:rFonts w:ascii="Adobe Devanagari" w:hAnsi="Adobe Devanagari"/>
        </w:rPr>
        <w:commentReference w:id="10"/>
      </w:r>
      <w:r w:rsidRPr="008315E9">
        <w:rPr>
          <w:rFonts w:ascii="Adobe Devanagari" w:hAnsi="Adobe Devanagari" w:cs="Times New Roman"/>
          <w:color w:val="000000"/>
        </w:rPr>
        <w:t>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001708D2"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1708D2" w:rsidRPr="008315E9">
        <w:rPr>
          <w:rFonts w:ascii="Adobe Devanagari" w:hAnsi="Adobe Devanagari" w:cs="Times New Roman"/>
          <w:color w:val="000000"/>
        </w:rPr>
        <w:t xml:space="preserve">.  </w:t>
      </w:r>
    </w:p>
    <w:p w14:paraId="4B4233FF" w14:textId="660F377B" w:rsidR="00707D83"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Different functional traits correspond to varying plant </w:t>
      </w:r>
      <w:commentRangeStart w:id="11"/>
      <w:r w:rsidRPr="008315E9">
        <w:rPr>
          <w:rFonts w:ascii="Adobe Devanagari" w:hAnsi="Adobe Devanagari" w:cs="Times New Roman"/>
          <w:color w:val="000000"/>
        </w:rPr>
        <w:t>life strategies</w:t>
      </w:r>
      <w:commentRangeEnd w:id="11"/>
      <w:r w:rsidR="00D708AC" w:rsidRPr="008315E9">
        <w:rPr>
          <w:rStyle w:val="CommentReference"/>
          <w:rFonts w:ascii="Adobe Devanagari" w:hAnsi="Adobe Devanagari"/>
        </w:rPr>
        <w:commentReference w:id="11"/>
      </w:r>
      <w:r w:rsidRPr="008315E9">
        <w:rPr>
          <w:rFonts w:ascii="Adobe Devanagari" w:hAnsi="Adobe Devanagari" w:cs="Times New Roman"/>
          <w:color w:val="000000"/>
        </w:rPr>
        <w:t>. Taking note of specific leaf area (SLA) serves as a proxy for life history, while leaf shape exhibits strong latitudinal and climate gradients for some species</w:t>
      </w:r>
      <w:ins w:id="12" w:author="Elizabeth Wolkovich" w:date="2016-12-11T17:53:00Z">
        <w:r w:rsidR="00D708AC" w:rsidRPr="008315E9">
          <w:rPr>
            <w:rFonts w:ascii="Adobe Devanagari" w:hAnsi="Adobe Devanagari" w:cs="Times New Roman"/>
            <w:color w:val="000000"/>
          </w:rPr>
          <w:t xml:space="preserve"> (ADD citations)</w:t>
        </w:r>
      </w:ins>
      <w:r w:rsidRPr="008315E9">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commentRangeStart w:id="13"/>
      <w:r w:rsidR="00D461EA" w:rsidRPr="008315E9">
        <w:rPr>
          <w:rFonts w:ascii="Adobe Devanagari" w:hAnsi="Adobe Devanagari" w:cs="Times New Roman"/>
          <w:color w:val="000000"/>
        </w:rPr>
        <w:t>By using related</w:t>
      </w:r>
      <w:r w:rsidR="007332D9" w:rsidRPr="008315E9">
        <w:rPr>
          <w:rFonts w:ascii="Adobe Devanagari" w:hAnsi="Adobe Devanagari" w:cs="Times New Roman"/>
          <w:color w:val="000000"/>
        </w:rPr>
        <w:t xml:space="preserve"> functional traits </w:t>
      </w:r>
      <w:r w:rsidR="00D461EA" w:rsidRPr="008315E9">
        <w:rPr>
          <w:rFonts w:ascii="Adobe Devanagari" w:hAnsi="Adobe Devanagari" w:cs="Times New Roman"/>
          <w:color w:val="000000"/>
        </w:rPr>
        <w:t>to describe a plant’s resource partitioning across its geographic range,</w:t>
      </w:r>
      <w:r w:rsidR="008C2071" w:rsidRPr="008315E9">
        <w:rPr>
          <w:rFonts w:ascii="Adobe Devanagari" w:hAnsi="Adobe Devanagari" w:cs="Times New Roman"/>
          <w:color w:val="000000"/>
        </w:rPr>
        <w:t xml:space="preserve"> I </w:t>
      </w:r>
      <w:r w:rsidR="00D461EA" w:rsidRPr="008315E9">
        <w:rPr>
          <w:rFonts w:ascii="Adobe Devanagari" w:hAnsi="Adobe Devanagari" w:cs="Times New Roman"/>
          <w:color w:val="000000"/>
        </w:rPr>
        <w:t xml:space="preserve">can </w:t>
      </w:r>
      <w:r w:rsidR="0087459F" w:rsidRPr="008315E9">
        <w:rPr>
          <w:rFonts w:ascii="Adobe Devanagari" w:hAnsi="Adobe Devanagari" w:cs="Times New Roman"/>
          <w:color w:val="000000"/>
        </w:rPr>
        <w:t xml:space="preserve">more accurately predict how a species could respond to shifts in climate. </w:t>
      </w:r>
      <w:r w:rsidR="0087459F" w:rsidRPr="008315E9">
        <w:rPr>
          <w:rFonts w:ascii="Adobe Devanagari" w:hAnsi="Adobe Devanagari" w:cs="Times New Roman"/>
        </w:rPr>
        <w:t>Incorporating trait-based models in</w:t>
      </w:r>
      <w:r w:rsidR="00A55E07" w:rsidRPr="008315E9">
        <w:rPr>
          <w:rFonts w:ascii="Adobe Devanagari" w:hAnsi="Adobe Devanagari" w:cs="Times New Roman"/>
        </w:rPr>
        <w:t xml:space="preserve"> our</w:t>
      </w:r>
      <w:r w:rsidR="0087459F" w:rsidRPr="008315E9">
        <w:rPr>
          <w:rFonts w:ascii="Adobe Devanagari" w:hAnsi="Adobe Devanagari" w:cs="Times New Roman"/>
        </w:rPr>
        <w:t xml:space="preserve"> </w:t>
      </w:r>
      <w:r w:rsidR="00A55E07" w:rsidRPr="008315E9">
        <w:rPr>
          <w:rFonts w:ascii="Adobe Devanagari" w:hAnsi="Adobe Devanagari" w:cs="Times New Roman"/>
        </w:rPr>
        <w:t xml:space="preserve">understanding of the roles that species interactions play in community assembly is crucial </w:t>
      </w:r>
      <w:r w:rsidR="0087459F" w:rsidRPr="008315E9">
        <w:rPr>
          <w:rFonts w:ascii="Adobe Devanagari" w:hAnsi="Adobe Devanagari" w:cs="Times New Roman"/>
        </w:rPr>
        <w:t xml:space="preserve">(Pigot </w:t>
      </w:r>
      <w:r w:rsidR="000D4798" w:rsidRPr="008315E9">
        <w:rPr>
          <w:rFonts w:ascii="Adobe Devanagari" w:hAnsi="Adobe Devanagari" w:cs="Times New Roman"/>
        </w:rPr>
        <w:t>&amp;</w:t>
      </w:r>
      <w:r w:rsidR="0087459F" w:rsidRPr="008315E9">
        <w:rPr>
          <w:rFonts w:ascii="Adobe Devanagari" w:hAnsi="Adobe Devanagari" w:cs="Times New Roman"/>
        </w:rPr>
        <w:t xml:space="preserve"> Tobias 2013</w:t>
      </w:r>
      <w:r w:rsidR="00C37E73" w:rsidRPr="008315E9">
        <w:rPr>
          <w:rFonts w:ascii="Adobe Devanagari" w:hAnsi="Adobe Devanagari" w:cs="Times New Roman"/>
        </w:rPr>
        <w:t>).</w:t>
      </w:r>
      <w:commentRangeEnd w:id="13"/>
      <w:r w:rsidR="00D708AC" w:rsidRPr="008315E9">
        <w:rPr>
          <w:rStyle w:val="CommentReference"/>
          <w:rFonts w:ascii="Adobe Devanagari" w:hAnsi="Adobe Devanagari"/>
        </w:rPr>
        <w:commentReference w:id="13"/>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44BC3C24"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del w:id="14" w:author="Elizabeth Wolkovich" w:date="2016-12-11T17:55:00Z">
        <w:r w:rsidR="001C4754" w:rsidRPr="008315E9" w:rsidDel="00187CCA">
          <w:rPr>
            <w:rFonts w:ascii="Adobe Devanagari" w:hAnsi="Adobe Devanagari" w:cs="Times New Roman"/>
            <w:color w:val="000000"/>
          </w:rPr>
          <w:delText xml:space="preserve">their </w:delText>
        </w:r>
      </w:del>
      <w:ins w:id="15" w:author="Elizabeth Wolkovich" w:date="2016-12-11T17:55:00Z">
        <w:r w:rsidR="00187CCA" w:rsidRPr="008315E9">
          <w:rPr>
            <w:rFonts w:ascii="Adobe Devanagari" w:hAnsi="Adobe Devanagari" w:cs="Times New Roman"/>
            <w:color w:val="000000"/>
          </w:rPr>
          <w:t xml:space="preserve">its </w:t>
        </w:r>
      </w:ins>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bookmarkStart w:id="16" w:name="_GoBack"/>
      <w:bookmarkEnd w:id="16"/>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commentRangeStart w:id="17"/>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commentRangeEnd w:id="17"/>
      <w:r w:rsidR="00187CCA" w:rsidRPr="008315E9">
        <w:rPr>
          <w:rStyle w:val="CommentReference"/>
          <w:rFonts w:ascii="Adobe Devanagari" w:hAnsi="Adobe Devanagari"/>
        </w:rPr>
        <w:commentReference w:id="17"/>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18"/>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19"/>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19"/>
      <w:r w:rsidR="00187CCA" w:rsidRPr="008315E9">
        <w:rPr>
          <w:rStyle w:val="CommentReference"/>
          <w:rFonts w:ascii="Adobe Devanagari" w:hAnsi="Adobe Devanagari"/>
        </w:rPr>
        <w:commentReference w:id="19"/>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18"/>
      <w:r w:rsidR="00AD12A2" w:rsidRPr="008315E9">
        <w:rPr>
          <w:rStyle w:val="CommentReference"/>
          <w:rFonts w:ascii="Adobe Devanagari" w:hAnsi="Adobe Devanagari"/>
        </w:rPr>
        <w:commentReference w:id="18"/>
      </w:r>
      <w:commentRangeStart w:id="20"/>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20"/>
      <w:r w:rsidR="00187CCA" w:rsidRPr="008315E9">
        <w:rPr>
          <w:rStyle w:val="CommentReference"/>
          <w:rFonts w:ascii="Adobe Devanagari" w:hAnsi="Adobe Devanagari"/>
        </w:rPr>
        <w:commentReference w:id="20"/>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21"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22"/>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22"/>
      <w:r w:rsidR="009C7E60" w:rsidRPr="008315E9">
        <w:rPr>
          <w:rStyle w:val="CommentReference"/>
          <w:rFonts w:ascii="Adobe Devanagari" w:hAnsi="Adobe Devanagari"/>
        </w:rPr>
        <w:commentReference w:id="22"/>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23"/>
      <w:r w:rsidR="000844B5" w:rsidRPr="008315E9">
        <w:rPr>
          <w:rFonts w:ascii="Adobe Devanagari" w:hAnsi="Adobe Devanagari" w:cs="Times New Roman"/>
          <w:color w:val="000000"/>
        </w:rPr>
        <w:t xml:space="preserve">competitive </w:t>
      </w:r>
      <w:commentRangeEnd w:id="23"/>
      <w:r w:rsidR="009C7E60" w:rsidRPr="008315E9">
        <w:rPr>
          <w:rStyle w:val="CommentReference"/>
          <w:rFonts w:ascii="Adobe Devanagari" w:hAnsi="Adobe Devanagari"/>
        </w:rPr>
        <w:commentReference w:id="23"/>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24"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25"/>
      <w:r w:rsidRPr="008315E9">
        <w:rPr>
          <w:rFonts w:ascii="Adobe Devanagari" w:hAnsi="Adobe Devanagari" w:cs="Times New Roman"/>
          <w:color w:val="000000"/>
        </w:rPr>
        <w:t>Similarly</w:t>
      </w:r>
      <w:commentRangeEnd w:id="25"/>
      <w:r w:rsidR="009C7E60" w:rsidRPr="008315E9">
        <w:rPr>
          <w:rStyle w:val="CommentReference"/>
          <w:rFonts w:ascii="Adobe Devanagari" w:hAnsi="Adobe Devanagari"/>
        </w:rPr>
        <w:commentReference w:id="25"/>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26"/>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26"/>
      <w:r w:rsidR="009C7E60" w:rsidRPr="008315E9">
        <w:rPr>
          <w:rStyle w:val="CommentReference"/>
          <w:rFonts w:ascii="Adobe Devanagari" w:hAnsi="Adobe Devanagari"/>
        </w:rPr>
        <w:commentReference w:id="26"/>
      </w:r>
    </w:p>
    <w:p w14:paraId="3EFD3254" w14:textId="13DD89FB"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27"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commentRangeStart w:id="28"/>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28"/>
      <w:r w:rsidR="009C7E60" w:rsidRPr="008315E9">
        <w:rPr>
          <w:rStyle w:val="CommentReference"/>
          <w:rFonts w:ascii="Adobe Devanagari" w:hAnsi="Adobe Devanagari"/>
        </w:rPr>
        <w:commentReference w:id="28"/>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29" w:author="Elizabeth Wolkovich" w:date="2016-12-11T18:05:00Z">
        <w:r w:rsidRPr="008315E9" w:rsidDel="009C7E60">
          <w:rPr>
            <w:rFonts w:ascii="Adobe Devanagari" w:hAnsi="Adobe Devanagari" w:cs="Times New Roman"/>
            <w:color w:val="000000"/>
          </w:rPr>
          <w:delText>On the other hand</w:delText>
        </w:r>
      </w:del>
      <w:ins w:id="30"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31"/>
      <w:r w:rsidR="008F389B" w:rsidRPr="008315E9">
        <w:rPr>
          <w:rFonts w:ascii="Adobe Devanagari" w:hAnsi="Adobe Devanagari" w:cs="Times New Roman"/>
          <w:color w:val="000000"/>
        </w:rPr>
        <w:t xml:space="preserve">such as competition </w:t>
      </w:r>
      <w:commentRangeEnd w:id="31"/>
      <w:r w:rsidR="003F602E" w:rsidRPr="008315E9">
        <w:rPr>
          <w:rStyle w:val="CommentReference"/>
          <w:rFonts w:ascii="Adobe Devanagari" w:hAnsi="Adobe Devanagari"/>
        </w:rPr>
        <w:commentReference w:id="31"/>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32"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33"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34"/>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lizabeth Wolkovich" w:date="2016-12-11T17:47:00Z" w:initials="EW">
    <w:p w14:paraId="2A06CFC6" w14:textId="54C3A4FB" w:rsidR="009C7E60" w:rsidRDefault="009C7E60">
      <w:pPr>
        <w:pStyle w:val="CommentText"/>
      </w:pPr>
      <w:r>
        <w:rPr>
          <w:rStyle w:val="CommentReference"/>
        </w:rPr>
        <w:annotationRef/>
      </w:r>
      <w:r>
        <w:t>Be more specific. You’re talking about declines in number, biomass, or…? A ’species’ to me is just present or absent so need a little more here .</w:t>
      </w:r>
    </w:p>
  </w:comment>
  <w:comment w:id="2" w:author="Elizabeth Wolkovich" w:date="2016-12-11T17:48:00Z" w:initials="EW">
    <w:p w14:paraId="709D191B" w14:textId="6E82AB0C" w:rsidR="009C7E60" w:rsidRDefault="009C7E60">
      <w:pPr>
        <w:pStyle w:val="CommentText"/>
      </w:pPr>
      <w:r>
        <w:rPr>
          <w:rStyle w:val="CommentReference"/>
        </w:rPr>
        <w:annotationRef/>
      </w:r>
      <w:r>
        <w:t>Move up as opening paragraph? Then re-work current opening sentence into new paragraph on ranges so you start broad – fundamental tenet! And then narrpw in – ranges …</w:t>
      </w:r>
    </w:p>
  </w:comment>
  <w:comment w:id="3" w:author="Elizabeth Wolkovich" w:date="2016-12-11T17:48:00Z" w:initials="EW">
    <w:p w14:paraId="4373F1EB" w14:textId="78FE3234" w:rsidR="009C7E60" w:rsidRDefault="009C7E60">
      <w:pPr>
        <w:pStyle w:val="CommentText"/>
      </w:pPr>
      <w:r>
        <w:rPr>
          <w:rStyle w:val="CommentReference"/>
        </w:rPr>
        <w:annotationRef/>
      </w:r>
      <w:r>
        <w:t>Nice!</w:t>
      </w:r>
    </w:p>
  </w:comment>
  <w:comment w:id="4" w:author="Elizabeth Wolkovich" w:date="2016-12-11T17:49:00Z" w:initials="EW">
    <w:p w14:paraId="4AD8F4CB" w14:textId="11B42F24" w:rsidR="009C7E60" w:rsidRDefault="009C7E60">
      <w:pPr>
        <w:pStyle w:val="CommentText"/>
      </w:pPr>
      <w:r>
        <w:rPr>
          <w:rStyle w:val="CommentReference"/>
        </w:rPr>
        <w:annotationRef/>
      </w:r>
      <w:r>
        <w:t>Have you seen the AmNat review by Hargreaves? If not, you should check it out, it should be from the last several years,</w:t>
      </w:r>
    </w:p>
  </w:comment>
  <w:comment w:id="5" w:author="Elizabeth Wolkovich" w:date="2016-12-11T17:51:00Z" w:initials="EW">
    <w:p w14:paraId="05241FCA" w14:textId="37E63CB2" w:rsidR="009C7E60" w:rsidRDefault="009C7E60">
      <w:pPr>
        <w:pStyle w:val="CommentText"/>
      </w:pPr>
      <w:r>
        <w:rPr>
          <w:rStyle w:val="CommentReference"/>
        </w:rPr>
        <w:annotationRef/>
      </w:r>
      <w:r>
        <w:t>Simplify into one sentence? They seem to almost say the same thing. Or maybe switch to one sentence on general bio and one sentence focused on what such work means for understanding what happens in a changing environment?</w:t>
      </w:r>
    </w:p>
  </w:comment>
  <w:comment w:id="6" w:author="Elizabeth Wolkovich" w:date="2016-12-11T17:55:00Z" w:initials="EW">
    <w:p w14:paraId="2A013CE8" w14:textId="6AEA70C7" w:rsidR="009C7E60" w:rsidRDefault="009C7E60">
      <w:pPr>
        <w:pStyle w:val="CommentText"/>
      </w:pPr>
      <w:r>
        <w:rPr>
          <w:rStyle w:val="CommentReference"/>
        </w:rPr>
        <w:annotationRef/>
      </w:r>
      <w:r>
        <w:t xml:space="preserve">Really good info in here but think about your order and organization! You need to introduce the concept of functional traits, say why it matters, say why it matters in your study and then give a review of traits you will be focusing on. You probably need to extend this section to get through all this in a way that is easy on the reader. </w:t>
      </w:r>
    </w:p>
  </w:comment>
  <w:comment w:id="7" w:author="Elizabeth Wolkovich" w:date="2016-12-11T17:54:00Z" w:initials="EW">
    <w:p w14:paraId="5BDE793D" w14:textId="60217D41" w:rsidR="009C7E60" w:rsidRDefault="009C7E60">
      <w:pPr>
        <w:pStyle w:val="CommentText"/>
      </w:pPr>
      <w:r>
        <w:rPr>
          <w:rStyle w:val="CommentReference"/>
        </w:rPr>
        <w:annotationRef/>
      </w:r>
      <w:r>
        <w:t xml:space="preserve">Need to introduce this concept to reader. </w:t>
      </w:r>
    </w:p>
  </w:comment>
  <w:comment w:id="10" w:author="Elizabeth Wolkovich" w:date="2016-12-11T17:52:00Z" w:initials="EW">
    <w:p w14:paraId="78C0BE03" w14:textId="433CCC15" w:rsidR="009C7E60" w:rsidRDefault="009C7E60">
      <w:pPr>
        <w:pStyle w:val="CommentText"/>
      </w:pPr>
      <w:r>
        <w:rPr>
          <w:rStyle w:val="CommentReference"/>
        </w:rPr>
        <w:annotationRef/>
      </w:r>
      <w:r>
        <w:t>This is good but given your general audience you might skip neutral theory altogether? It’s not a focus here so really all you need to do is establish the evidence supporting niche theory. If you want to keep in neutral theory I think you need to explain/summarize it for the reader.</w:t>
      </w:r>
    </w:p>
  </w:comment>
  <w:comment w:id="11" w:author="Elizabeth Wolkovich" w:date="2016-12-11T17:53:00Z" w:initials="EW">
    <w:p w14:paraId="628E6D5B" w14:textId="3F0CB882" w:rsidR="009C7E60" w:rsidRDefault="009C7E60">
      <w:pPr>
        <w:pStyle w:val="CommentText"/>
      </w:pPr>
      <w:r>
        <w:rPr>
          <w:rStyle w:val="CommentReference"/>
        </w:rPr>
        <w:annotationRef/>
      </w:r>
      <w:r>
        <w:t>What is a life strategy? Maybe just plant strategy? Or life history strategy?</w:t>
      </w:r>
    </w:p>
  </w:comment>
  <w:comment w:id="13" w:author="Elizabeth Wolkovich" w:date="2016-12-11T17:54:00Z" w:initials="EW">
    <w:p w14:paraId="70D044DE" w14:textId="6B20F11D" w:rsidR="009C7E60" w:rsidRDefault="009C7E60">
      <w:pPr>
        <w:pStyle w:val="CommentText"/>
      </w:pPr>
      <w:r>
        <w:rPr>
          <w:rStyle w:val="CommentReference"/>
        </w:rPr>
        <w:annotationRef/>
      </w:r>
      <w:r>
        <w:t xml:space="preserve">Move up, then go through various traits. </w:t>
      </w:r>
    </w:p>
  </w:comment>
  <w:comment w:id="17" w:author="Elizabeth Wolkovich" w:date="2016-12-11T17:56:00Z" w:initials="EW">
    <w:p w14:paraId="4061A04C" w14:textId="0DE8BD9F" w:rsidR="009C7E60" w:rsidRDefault="009C7E60">
      <w:pPr>
        <w:pStyle w:val="CommentText"/>
      </w:pPr>
      <w:r>
        <w:rPr>
          <w:rStyle w:val="CommentReference"/>
        </w:rPr>
        <w:annotationRef/>
      </w:r>
      <w:r>
        <w:t>Add caption to figure And refer to it in text!</w:t>
      </w:r>
    </w:p>
  </w:comment>
  <w:comment w:id="19" w:author="Elizabeth Wolkovich" w:date="2016-12-11T17:56:00Z" w:initials="EW">
    <w:p w14:paraId="34BF3E53" w14:textId="10C73937" w:rsidR="009C7E60" w:rsidRDefault="009C7E60">
      <w:pPr>
        <w:pStyle w:val="CommentText"/>
      </w:pPr>
      <w:r>
        <w:rPr>
          <w:rStyle w:val="CommentReference"/>
        </w:rPr>
        <w:annotationRef/>
      </w:r>
      <w:r>
        <w:t>Nice!</w:t>
      </w:r>
    </w:p>
  </w:comment>
  <w:comment w:id="18"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20"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22"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23"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25"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26"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28" w:author="Elizabeth Wolkovich" w:date="2016-12-11T18:04:00Z" w:initials="EW">
    <w:p w14:paraId="0E62714F" w14:textId="6DD15CAF" w:rsidR="009C7E60" w:rsidRDefault="009C7E60">
      <w:pPr>
        <w:pStyle w:val="CommentText"/>
      </w:pPr>
      <w:r>
        <w:rPr>
          <w:rStyle w:val="CommentReference"/>
        </w:rPr>
        <w:annotationRef/>
      </w:r>
      <w:r>
        <w:t>Missing word?</w:t>
      </w:r>
    </w:p>
  </w:comment>
  <w:comment w:id="31"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34"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6CFC6" w15:done="0"/>
  <w15:commentEx w15:paraId="709D191B" w15:done="0"/>
  <w15:commentEx w15:paraId="4373F1EB" w15:done="0"/>
  <w15:commentEx w15:paraId="4AD8F4CB" w15:done="0"/>
  <w15:commentEx w15:paraId="05241FCA" w15:done="0"/>
  <w15:commentEx w15:paraId="2A013CE8" w15:done="0"/>
  <w15:commentEx w15:paraId="5BDE793D" w15:done="0"/>
  <w15:commentEx w15:paraId="78C0BE03" w15:done="0"/>
  <w15:commentEx w15:paraId="628E6D5B" w15:done="0"/>
  <w15:commentEx w15:paraId="70D044DE" w15:done="0"/>
  <w15:commentEx w15:paraId="4061A04C" w15:done="0"/>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C2290" w14:textId="77777777" w:rsidR="00490FD4" w:rsidRDefault="00490FD4" w:rsidP="0073624D">
      <w:r>
        <w:separator/>
      </w:r>
    </w:p>
  </w:endnote>
  <w:endnote w:type="continuationSeparator" w:id="0">
    <w:p w14:paraId="311EEC39" w14:textId="77777777" w:rsidR="00490FD4" w:rsidRDefault="00490FD4"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D6823" w14:textId="77777777" w:rsidR="00490FD4" w:rsidRDefault="00490FD4" w:rsidP="0073624D">
      <w:r>
        <w:separator/>
      </w:r>
    </w:p>
  </w:footnote>
  <w:footnote w:type="continuationSeparator" w:id="0">
    <w:p w14:paraId="382ED1A2" w14:textId="77777777" w:rsidR="00490FD4" w:rsidRDefault="00490FD4"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8315E9">
      <w:rPr>
        <w:rStyle w:val="PageNumber"/>
        <w:noProof/>
      </w:rPr>
      <w:t>2</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490FD4">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6FEB"/>
    <w:rsid w:val="00080702"/>
    <w:rsid w:val="00083C66"/>
    <w:rsid w:val="000844B5"/>
    <w:rsid w:val="00093907"/>
    <w:rsid w:val="0009731B"/>
    <w:rsid w:val="000B6773"/>
    <w:rsid w:val="000D4798"/>
    <w:rsid w:val="000F59C5"/>
    <w:rsid w:val="00115248"/>
    <w:rsid w:val="00126E39"/>
    <w:rsid w:val="0013564C"/>
    <w:rsid w:val="00164F48"/>
    <w:rsid w:val="001708D2"/>
    <w:rsid w:val="00187CCA"/>
    <w:rsid w:val="001C4754"/>
    <w:rsid w:val="001F203E"/>
    <w:rsid w:val="0026273C"/>
    <w:rsid w:val="002A0D3E"/>
    <w:rsid w:val="00335E78"/>
    <w:rsid w:val="00354BE8"/>
    <w:rsid w:val="00363011"/>
    <w:rsid w:val="00372CBA"/>
    <w:rsid w:val="00376056"/>
    <w:rsid w:val="00381049"/>
    <w:rsid w:val="003B4D5E"/>
    <w:rsid w:val="003F602E"/>
    <w:rsid w:val="004144C7"/>
    <w:rsid w:val="00450529"/>
    <w:rsid w:val="00477D2B"/>
    <w:rsid w:val="00490FD4"/>
    <w:rsid w:val="0049332C"/>
    <w:rsid w:val="00503501"/>
    <w:rsid w:val="00533886"/>
    <w:rsid w:val="0053743D"/>
    <w:rsid w:val="0055340E"/>
    <w:rsid w:val="00565BEC"/>
    <w:rsid w:val="005C0C56"/>
    <w:rsid w:val="005C1BE6"/>
    <w:rsid w:val="00607E82"/>
    <w:rsid w:val="00613C60"/>
    <w:rsid w:val="006307A9"/>
    <w:rsid w:val="006812F6"/>
    <w:rsid w:val="00697A0B"/>
    <w:rsid w:val="006F36D8"/>
    <w:rsid w:val="00700D99"/>
    <w:rsid w:val="0070296C"/>
    <w:rsid w:val="00707D83"/>
    <w:rsid w:val="007332D9"/>
    <w:rsid w:val="0073624D"/>
    <w:rsid w:val="00780785"/>
    <w:rsid w:val="007B4C89"/>
    <w:rsid w:val="007C1233"/>
    <w:rsid w:val="007C126C"/>
    <w:rsid w:val="007D4911"/>
    <w:rsid w:val="008311D0"/>
    <w:rsid w:val="008315E9"/>
    <w:rsid w:val="0087459F"/>
    <w:rsid w:val="008C1B80"/>
    <w:rsid w:val="008C2071"/>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13C49"/>
    <w:rsid w:val="00A2177D"/>
    <w:rsid w:val="00A23EA4"/>
    <w:rsid w:val="00A24C78"/>
    <w:rsid w:val="00A31D2D"/>
    <w:rsid w:val="00A369DE"/>
    <w:rsid w:val="00A55E07"/>
    <w:rsid w:val="00A638A9"/>
    <w:rsid w:val="00A757BC"/>
    <w:rsid w:val="00A8536E"/>
    <w:rsid w:val="00AC381E"/>
    <w:rsid w:val="00AD12A2"/>
    <w:rsid w:val="00AD2862"/>
    <w:rsid w:val="00AE36E3"/>
    <w:rsid w:val="00B169C9"/>
    <w:rsid w:val="00B3279F"/>
    <w:rsid w:val="00B61E3B"/>
    <w:rsid w:val="00B66BD5"/>
    <w:rsid w:val="00B86A39"/>
    <w:rsid w:val="00B9633E"/>
    <w:rsid w:val="00BF4175"/>
    <w:rsid w:val="00C002C4"/>
    <w:rsid w:val="00C161CE"/>
    <w:rsid w:val="00C206DB"/>
    <w:rsid w:val="00C37E73"/>
    <w:rsid w:val="00C45DBB"/>
    <w:rsid w:val="00C56453"/>
    <w:rsid w:val="00CF338C"/>
    <w:rsid w:val="00D461EA"/>
    <w:rsid w:val="00D708AC"/>
    <w:rsid w:val="00D832B1"/>
    <w:rsid w:val="00DB194A"/>
    <w:rsid w:val="00DD3550"/>
    <w:rsid w:val="00DD391B"/>
    <w:rsid w:val="00DE133B"/>
    <w:rsid w:val="00E0070E"/>
    <w:rsid w:val="00E132A5"/>
    <w:rsid w:val="00E232A6"/>
    <w:rsid w:val="00E65926"/>
    <w:rsid w:val="00E72742"/>
    <w:rsid w:val="00E80DDA"/>
    <w:rsid w:val="00EB16AE"/>
    <w:rsid w:val="00EE1FBD"/>
    <w:rsid w:val="00EE5EB9"/>
    <w:rsid w:val="00EE724D"/>
    <w:rsid w:val="00EF7ADE"/>
    <w:rsid w:val="00F429E8"/>
    <w:rsid w:val="00F55553"/>
    <w:rsid w:val="00F6764C"/>
    <w:rsid w:val="00FA1794"/>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95091E-6010-4340-A8A9-0A3C7822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4178</Words>
  <Characters>23815</Characters>
  <Application>Microsoft Macintosh Word</Application>
  <DocSecurity>0</DocSecurity>
  <Lines>198</Lines>
  <Paragraphs>55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Range extremes and community ecology</vt:lpstr>
      <vt:lpstr/>
      <vt:lpstr/>
      <vt:lpstr>Functional traits and niche differentiation </vt:lpstr>
      <vt:lpstr/>
      <vt:lpstr>Range shifts and response to climate change</vt:lpstr>
      <vt:lpstr>Latitudinal gradients as nature’s laboratory</vt:lpstr>
      <vt:lpstr>MATERIALS AND METHODS</vt:lpstr>
    </vt:vector>
  </TitlesOfParts>
  <Company/>
  <LinksUpToDate>false</LinksUpToDate>
  <CharactersWithSpaces>27938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2017-01-27T17:04:00Z</dcterms:created>
  <dcterms:modified xsi:type="dcterms:W3CDTF">2017-01-27T17:04:00Z</dcterms:modified>
</cp:coreProperties>
</file>