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9BA" w:rsidRPr="00A530B1" w:rsidRDefault="003F49BA" w:rsidP="003F49BA">
      <w:pPr>
        <w:pStyle w:val="Subtitle"/>
        <w:rPr>
          <w:rFonts w:ascii="Times New Roman" w:hAnsi="Times New Roman" w:cs="Times New Roman"/>
          <w:b/>
          <w:color w:val="000000" w:themeColor="text1"/>
          <w:sz w:val="24"/>
          <w:szCs w:val="24"/>
        </w:rPr>
      </w:pPr>
      <w:r w:rsidRPr="00A530B1">
        <w:rPr>
          <w:rFonts w:ascii="Times New Roman" w:hAnsi="Times New Roman" w:cs="Times New Roman"/>
          <w:b/>
          <w:color w:val="000000" w:themeColor="text1"/>
          <w:sz w:val="24"/>
          <w:szCs w:val="24"/>
        </w:rPr>
        <w:t>Conclusion</w:t>
      </w:r>
    </w:p>
    <w:p w:rsidR="00DC60DA" w:rsidRDefault="00DC60DA" w:rsidP="003F49BA">
      <w:pPr>
        <w:spacing w:after="0" w:line="276" w:lineRule="auto"/>
        <w:rPr>
          <w:rFonts w:ascii="Times New Roman" w:hAnsi="Times New Roman" w:cs="Times New Roman"/>
        </w:rPr>
      </w:pPr>
    </w:p>
    <w:p w:rsidR="00DC60DA" w:rsidRDefault="00DC60DA" w:rsidP="00843D4E">
      <w:pPr>
        <w:spacing w:after="0" w:line="276" w:lineRule="auto"/>
        <w:rPr>
          <w:rFonts w:ascii="Times New Roman" w:hAnsi="Times New Roman" w:cs="Times New Roman"/>
        </w:rPr>
      </w:pPr>
      <w:r>
        <w:rPr>
          <w:rFonts w:ascii="Times New Roman" w:hAnsi="Times New Roman" w:cs="Times New Roman"/>
        </w:rPr>
        <w:t xml:space="preserve">To conclude with this report, </w:t>
      </w:r>
      <w:r w:rsidR="004A1DF3">
        <w:rPr>
          <w:rFonts w:ascii="Times New Roman" w:hAnsi="Times New Roman" w:cs="Times New Roman"/>
        </w:rPr>
        <w:t xml:space="preserve">we are confident that our second Metropolis-Hastings sampler is accurate for predicting the </w:t>
      </w:r>
      <w:proofErr w:type="spellStart"/>
      <w:r w:rsidR="004A1DF3">
        <w:rPr>
          <w:rFonts w:ascii="Times New Roman" w:hAnsi="Times New Roman" w:cs="Times New Roman"/>
        </w:rPr>
        <w:t>E</w:t>
      </w:r>
      <w:r w:rsidR="004A1DF3">
        <w:rPr>
          <w:rFonts w:ascii="Times New Roman" w:hAnsi="Times New Roman" w:cs="Times New Roman"/>
          <w:vertAlign w:val="subscript"/>
        </w:rPr>
        <w:t>max</w:t>
      </w:r>
      <w:proofErr w:type="spellEnd"/>
      <w:r w:rsidR="004A1DF3">
        <w:rPr>
          <w:rFonts w:ascii="Times New Roman" w:hAnsi="Times New Roman" w:cs="Times New Roman"/>
          <w:vertAlign w:val="subscript"/>
        </w:rPr>
        <w:t xml:space="preserve"> </w:t>
      </w:r>
      <w:r w:rsidR="004A1DF3">
        <w:rPr>
          <w:rFonts w:ascii="Times New Roman" w:hAnsi="Times New Roman" w:cs="Times New Roman"/>
        </w:rPr>
        <w:t>model; firstly by making sure our parameters had no correlation by using the covariance matrix for the posterior distributions (</w:t>
      </w:r>
      <w:r w:rsidR="00870340">
        <w:rPr>
          <w:rFonts w:ascii="Times New Roman" w:hAnsi="Times New Roman" w:cs="Times New Roman"/>
        </w:rPr>
        <w:t xml:space="preserve">which was </w:t>
      </w:r>
      <w:r w:rsidR="004A1DF3">
        <w:rPr>
          <w:rFonts w:ascii="Times New Roman" w:hAnsi="Times New Roman" w:cs="Times New Roman"/>
        </w:rPr>
        <w:t xml:space="preserve">our problem with the first sampler). Secondly, </w:t>
      </w:r>
      <w:r w:rsidR="00843D4E">
        <w:rPr>
          <w:rFonts w:ascii="Times New Roman" w:hAnsi="Times New Roman" w:cs="Times New Roman"/>
        </w:rPr>
        <w:t xml:space="preserve">from the </w:t>
      </w:r>
      <w:r w:rsidR="00843D4E" w:rsidRPr="00A530B1">
        <w:rPr>
          <w:rFonts w:ascii="Times New Roman" w:hAnsi="Times New Roman" w:cs="Times New Roman"/>
        </w:rPr>
        <w:t>Kolmogorov-Smirnov</w:t>
      </w:r>
      <w:r w:rsidR="00843D4E">
        <w:rPr>
          <w:rFonts w:ascii="Times New Roman" w:hAnsi="Times New Roman" w:cs="Times New Roman"/>
        </w:rPr>
        <w:t xml:space="preserve"> test that by taking two samples from our Metropolis-Hastings sampler, </w:t>
      </w:r>
      <w:r w:rsidR="00870340">
        <w:rPr>
          <w:rFonts w:ascii="Times New Roman" w:hAnsi="Times New Roman" w:cs="Times New Roman"/>
        </w:rPr>
        <w:t xml:space="preserve">95% confident that they </w:t>
      </w:r>
      <w:r w:rsidR="00843D4E">
        <w:rPr>
          <w:rFonts w:ascii="Times New Roman" w:hAnsi="Times New Roman" w:cs="Times New Roman"/>
        </w:rPr>
        <w:t xml:space="preserve">followed the same </w:t>
      </w:r>
      <w:r w:rsidR="00870340">
        <w:rPr>
          <w:rFonts w:ascii="Times New Roman" w:hAnsi="Times New Roman" w:cs="Times New Roman"/>
        </w:rPr>
        <w:t>distribution</w:t>
      </w:r>
      <w:r w:rsidR="00843D4E">
        <w:rPr>
          <w:rFonts w:ascii="Times New Roman" w:hAnsi="Times New Roman" w:cs="Times New Roman"/>
        </w:rPr>
        <w:t>.</w:t>
      </w:r>
    </w:p>
    <w:p w:rsidR="00745BF2" w:rsidRDefault="00745BF2" w:rsidP="00843D4E">
      <w:pPr>
        <w:spacing w:after="0" w:line="276" w:lineRule="auto"/>
        <w:rPr>
          <w:rFonts w:ascii="Times New Roman" w:hAnsi="Times New Roman" w:cs="Times New Roman"/>
        </w:rPr>
      </w:pPr>
    </w:p>
    <w:p w:rsidR="00745BF2" w:rsidRDefault="00745BF2" w:rsidP="008F34FE">
      <w:pPr>
        <w:spacing w:after="0" w:line="276" w:lineRule="auto"/>
        <w:rPr>
          <w:rFonts w:ascii="Times New Roman" w:hAnsi="Times New Roman" w:cs="Times New Roman"/>
        </w:rPr>
      </w:pPr>
      <w:r>
        <w:rPr>
          <w:rFonts w:ascii="Times New Roman" w:hAnsi="Times New Roman" w:cs="Times New Roman"/>
        </w:rPr>
        <w:t>Therefore using</w:t>
      </w:r>
      <w:r w:rsidR="008F34FE">
        <w:rPr>
          <w:rFonts w:ascii="Times New Roman" w:hAnsi="Times New Roman" w:cs="Times New Roman"/>
        </w:rPr>
        <w:t xml:space="preserve"> our second Metropolis sampler we have found that from computing the 95% Credible Interval for our biomarker, </w:t>
      </w:r>
      <w:r w:rsidR="008F34FE">
        <w:rPr>
          <w:rFonts w:cstheme="minorHAnsi"/>
        </w:rPr>
        <w:t>β, was significant</w:t>
      </w:r>
      <w:r w:rsidR="00870340">
        <w:rPr>
          <w:rFonts w:cstheme="minorHAnsi"/>
        </w:rPr>
        <w:t>:</w:t>
      </w:r>
      <w:r w:rsidR="008F34FE">
        <w:rPr>
          <w:rFonts w:cstheme="minorHAnsi"/>
        </w:rPr>
        <w:t xml:space="preserve"> (</w:t>
      </w:r>
      <w:r w:rsidR="008F34FE">
        <w:t>6.505-16.018), so we can be clear, that not only from figu</w:t>
      </w:r>
      <w:r w:rsidR="00870340">
        <w:t xml:space="preserve">re 1, that the biomarker </w:t>
      </w:r>
      <w:r w:rsidR="00F9431B">
        <w:t xml:space="preserve">significantly </w:t>
      </w:r>
      <w:r w:rsidR="00870340">
        <w:t>increases</w:t>
      </w:r>
      <w:r w:rsidR="008F34FE">
        <w:t xml:space="preserve"> the t</w:t>
      </w:r>
      <w:r w:rsidR="00F9431B">
        <w:t>olerance level of the treatment and so clinicians may be able to administer a higher doses to patients with the biomarker.</w:t>
      </w:r>
    </w:p>
    <w:p w:rsidR="00DC60DA" w:rsidRDefault="00DC60DA" w:rsidP="003F49BA">
      <w:pPr>
        <w:spacing w:after="0" w:line="276" w:lineRule="auto"/>
        <w:rPr>
          <w:rFonts w:ascii="Times New Roman" w:hAnsi="Times New Roman" w:cs="Times New Roman"/>
        </w:rPr>
      </w:pPr>
    </w:p>
    <w:p w:rsidR="003F49BA" w:rsidRDefault="003F49BA" w:rsidP="003F49BA">
      <w:pPr>
        <w:spacing w:after="0" w:line="276" w:lineRule="auto"/>
        <w:rPr>
          <w:rFonts w:ascii="Times New Roman" w:hAnsi="Times New Roman" w:cs="Times New Roman"/>
        </w:rPr>
      </w:pPr>
      <w:r w:rsidRPr="00F3467D">
        <w:rPr>
          <w:rFonts w:ascii="Times New Roman" w:hAnsi="Times New Roman" w:cs="Times New Roman"/>
        </w:rPr>
        <w:t xml:space="preserve">Having considered the tolerance levels of the individuals in the phase one of the trial with and without the biomarker, it would be advisable for the clinicians to set the maximal safe dose to ED30 for future trials. </w:t>
      </w:r>
      <w:r>
        <w:rPr>
          <w:rFonts w:ascii="Times New Roman" w:hAnsi="Times New Roman" w:cs="Times New Roman"/>
        </w:rPr>
        <w:t>This is defined as:</w:t>
      </w:r>
    </w:p>
    <w:p w:rsidR="003F49BA" w:rsidRDefault="003F49BA" w:rsidP="003F49BA">
      <w:pPr>
        <w:jc w:val="center"/>
      </w:pPr>
      <w:r w:rsidRPr="00A530B1">
        <w:rPr>
          <w:rFonts w:ascii="Times New Roman" w:hAnsi="Times New Roman" w:cs="Times New Roman"/>
          <w:noProof/>
          <w:lang w:eastAsia="en-GB"/>
        </w:rPr>
        <w:drawing>
          <wp:inline distT="0" distB="0" distL="0" distR="0" wp14:anchorId="5F700E8E" wp14:editId="68EB5518">
            <wp:extent cx="3314700" cy="60115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4546" t="31659" r="43624" b="64527"/>
                    <a:stretch/>
                  </pic:blipFill>
                  <pic:spPr bwMode="auto">
                    <a:xfrm>
                      <a:off x="0" y="0"/>
                      <a:ext cx="3337881" cy="605359"/>
                    </a:xfrm>
                    <a:prstGeom prst="rect">
                      <a:avLst/>
                    </a:prstGeom>
                    <a:ln>
                      <a:noFill/>
                    </a:ln>
                    <a:extLst>
                      <a:ext uri="{53640926-AAD7-44D8-BBD7-CCE9431645EC}">
                        <a14:shadowObscured xmlns:a14="http://schemas.microsoft.com/office/drawing/2010/main"/>
                      </a:ext>
                    </a:extLst>
                  </pic:spPr>
                </pic:pic>
              </a:graphicData>
            </a:graphic>
          </wp:inline>
        </w:drawing>
      </w:r>
    </w:p>
    <w:p w:rsidR="003F49BA" w:rsidRDefault="003F49BA" w:rsidP="003F49BA"/>
    <w:p w:rsidR="003F49BA" w:rsidRDefault="006E100B" w:rsidP="00F9431B">
      <w:r>
        <w:t>Therefore using our values for ED</w:t>
      </w:r>
      <w:r>
        <w:rPr>
          <w:vertAlign w:val="subscript"/>
        </w:rPr>
        <w:t>50</w:t>
      </w:r>
      <w:r>
        <w:t xml:space="preserve"> hat and lambda hat, our value for ED</w:t>
      </w:r>
      <w:r>
        <w:rPr>
          <w:vertAlign w:val="subscript"/>
        </w:rPr>
        <w:t>30</w:t>
      </w:r>
      <w:r>
        <w:t xml:space="preserve"> is 58.130. This is the maximum dose the clinicians should use when giving the tre</w:t>
      </w:r>
      <w:r w:rsidR="00D47521">
        <w:t>atment to patients</w:t>
      </w:r>
      <w:r w:rsidR="009B25EF">
        <w:t>.</w:t>
      </w:r>
    </w:p>
    <w:p w:rsidR="009B25EF" w:rsidRDefault="009B25EF" w:rsidP="00F9431B"/>
    <w:p w:rsidR="009B25EF" w:rsidRDefault="009B25EF" w:rsidP="00F9431B"/>
    <w:p w:rsidR="009B25EF" w:rsidRDefault="009B25EF" w:rsidP="009B25EF">
      <w:pPr>
        <w:pStyle w:val="ListParagraph"/>
        <w:numPr>
          <w:ilvl w:val="0"/>
          <w:numId w:val="2"/>
        </w:numPr>
      </w:pPr>
      <w:r>
        <w:t xml:space="preserve">Alice for the lambda distribution, can we speculate that it looks like a beta distribution </w:t>
      </w:r>
      <w:proofErr w:type="gramStart"/>
      <w:r>
        <w:t>beta(</w:t>
      </w:r>
      <w:proofErr w:type="spellStart"/>
      <w:proofErr w:type="gramEnd"/>
      <w:r>
        <w:t>a,b</w:t>
      </w:r>
      <w:proofErr w:type="spellEnd"/>
      <w:r>
        <w:t>) for a&gt;b?</w:t>
      </w:r>
    </w:p>
    <w:p w:rsidR="000F0238" w:rsidRPr="006E100B" w:rsidRDefault="000F0238" w:rsidP="009B25EF">
      <w:pPr>
        <w:pStyle w:val="ListParagraph"/>
        <w:numPr>
          <w:ilvl w:val="0"/>
          <w:numId w:val="2"/>
        </w:numPr>
      </w:pPr>
      <w:r>
        <w:t>Also Alice, in the data: the next does under ED30 is 44- is that the maximum dose now to give to the patients or can we give up to 58? I.E. can we give doses not given in the data or do we have to use those doses?</w:t>
      </w:r>
      <w:bookmarkStart w:id="0" w:name="_GoBack"/>
      <w:bookmarkEnd w:id="0"/>
    </w:p>
    <w:sectPr w:rsidR="000F0238" w:rsidRPr="006E1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E6CCE"/>
    <w:multiLevelType w:val="hybridMultilevel"/>
    <w:tmpl w:val="AD1232CA"/>
    <w:lvl w:ilvl="0" w:tplc="374CDE02">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D17B0C"/>
    <w:multiLevelType w:val="hybridMultilevel"/>
    <w:tmpl w:val="19007AB8"/>
    <w:lvl w:ilvl="0" w:tplc="3E8E36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9BA"/>
    <w:rsid w:val="000F0238"/>
    <w:rsid w:val="003F49BA"/>
    <w:rsid w:val="004A1DF3"/>
    <w:rsid w:val="006E100B"/>
    <w:rsid w:val="00745BF2"/>
    <w:rsid w:val="00843D4E"/>
    <w:rsid w:val="00870340"/>
    <w:rsid w:val="008F34FE"/>
    <w:rsid w:val="00903C0A"/>
    <w:rsid w:val="009B25EF"/>
    <w:rsid w:val="00C95A2A"/>
    <w:rsid w:val="00D47521"/>
    <w:rsid w:val="00DB163B"/>
    <w:rsid w:val="00DC60DA"/>
    <w:rsid w:val="00F943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1362"/>
  <w15:chartTrackingRefBased/>
  <w15:docId w15:val="{7C8BBE71-BC8C-4107-AD78-6FC36E47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9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F49B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49BA"/>
    <w:rPr>
      <w:rFonts w:eastAsiaTheme="minorEastAsia"/>
      <w:color w:val="5A5A5A" w:themeColor="text1" w:themeTint="A5"/>
      <w:spacing w:val="15"/>
    </w:rPr>
  </w:style>
  <w:style w:type="paragraph" w:styleId="ListParagraph">
    <w:name w:val="List Paragraph"/>
    <w:basedOn w:val="Normal"/>
    <w:uiPriority w:val="34"/>
    <w:qFormat/>
    <w:rsid w:val="003F4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Maini</dc:creator>
  <cp:keywords/>
  <dc:description/>
  <cp:lastModifiedBy>Rohan Maini</cp:lastModifiedBy>
  <cp:revision>4</cp:revision>
  <dcterms:created xsi:type="dcterms:W3CDTF">2017-12-15T12:55:00Z</dcterms:created>
  <dcterms:modified xsi:type="dcterms:W3CDTF">2017-12-15T13:02:00Z</dcterms:modified>
</cp:coreProperties>
</file>