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designed and evaluated predominantly on English. We measure three schemes (KGW, EXP, SynthID) on Turkish with MarkLLM and Qwen3-14B: 384 generated texts under ten removal attacks, a pre-registered false-positive study on 4,000 human windows, and a two-judge meaning-preservation study. First, KGW's detector is miscalibrated on human text: its null standard deviation is 1.479 in Turkish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the two are indistinguishable. Turkish contributes exposure, not mechanism: its subword fertility turns a given reading length into twice as many tokens, and inflation grows with tokens scored. Second, the best-behaved detector is the most fragile: at its own shipped threshold SynthID falsely flags none of the 1,500 human windows against KGW's 3 and EXP's 13, yet loses the most AUROC under both headline attacks. With three schemes this is an observed pattern, not an established trade-off. Third, laundering through an external LLM is the only attack that both degrades detection for all three schemes and preserves meaning, though meaning was judged on KGW text. A planned morphological attack did not fire; we report it with its coverage and release the corpus, scores and judge annotations as a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fragility pattern: SynthID falsely flags none of the 1,500 human Turkish windows at its own shipped threshold, fewer than KGW (3) or EXP (13),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best-calibrated detector is the most fragile.</w:t>
      </w:r>
      <w:r>
        <w:t xml:space="preserve"> At its own shipped threshold SynthID falsely flags none of the 1,500 human Turkish windows, against 3 for KGW and 13 for EXP, but it takes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Morphological analysis for Turkish is available through the zeyrek analyzer (Bulat, 2022), an alpha-stage partial port of Zemberek, which we use to build a morphological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exact test. Because EXP is deterministic given prompt and key, its four watermarked scores within a prompt carry one outcome rather than four, so we take the prompt as the unit here as we do elsewhere: each prompt yields one binary outcome, whether its watermarked scores separate from the clean pool. All 24 prompts separate, and a one-sided exact sign test gives p = 2⁻²⁴ = 5.96 × 10⁻⁸. A within-prompt label-exchangeability test would treat the four scores as exchangeable units and return 10⁻⁴⁴·³, but that assumption is not defensible for a deterministic scheme, and we report the weaker and more defensible number.</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p-value is a one-sided exact sign test over the 24 prompt-level outcomes (2⁻²⁴), taking the prompt as the unit as elsewhere in the paper; a within-prompt exchangeability test would give a far smaller number on an assumption we decline to make for a deterministic scheme (Section 3.3).</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sign-test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5.96 × 10^-8</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The best-calibrated scheme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The three detectors report statistics on different scales, so their raw standard deviations are not comparable and Section 3.3 forbids comparing them; the comparable quantity is the realized false-positive rate on human text at each scheme's own shipped threshold. On that measure SynthID (Dathathri et al., 2024) is the best behaved, flagging 0 of the 1500 Turkish windows (0.00%), against KGW's 3 (0.20%) and EXP's 13 (0.87%). Yet SynthID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scheme (Kirchenbauer et al., 2023) that we also test and against the distortion-free family (Kuditipudi et al., 2024), of which we test the Aaronson-Kirchner variant rather than their edit-robust EXP-Edit and ITS-Edit algorithms, which MarkLLM implements separately and we did not run.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paraphrase-oriented schemes noted in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perturb or couple the next-token distribution using a key seeded from surface context, and all three are configured as the toolkit ships them. Schemes designed precisely against paraphrase, namely SIR (Liu et al., 2024), which is itself token-level but seeds its watermark logits from a semantic embedding of all preceding tokens rather than from a fixed token window, and SemStamp (Hou et al., 2024), which watermarks by rejection sampling whole sentences, are both implemented in MarkLLM and therefore available to us. Neither was evaluated, so nothing here licenses a claim about watermarking in general; the laundering result is a statement about surface-context-seeded schemes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The commercial API charges reported in Sections 3.2 and 3.5 (USD 17.704 and USD 7.021) were met from the author's own resources.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ind w:left="360" w:hanging="360"/>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ind w:left="360" w:hanging="360"/>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ind w:left="360" w:hanging="360"/>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fragility pattern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v1.1.0-paper</w:t>
      </w:r>
      <w:r>
        <w:t xml:space="preserve">, which freezes the exact code and data state from which every reported number was produced. An archived snapshot of that release is deposited at Zenodo under DOI 10.5281/zenodo.22168553 (&lt;https://doi.org/10.5281/zenodo.22168553&gt;). That DOI names this specific release; the concept DOI 10.5281/zenodo.22168552 always resolves to the latest version.</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We state precisely what this does and does not guarantee. The commit hashes bind the registered content cryptographically and fix its position in the history, so a reader can verify that no later commit silently altered a registration. The wall-clock dates are a different matter. The repository was first published on 2026-08-29 and archived at Zenodo on 2026-08-30, and those are third-party timestamps; but both postdate the data collection, so neither independently separates registration from data. The asserted dates of 2026-08-23 to 2026-08-25 rest on the author's local repository history, which an author can in principle rewrite before first publication. We report this rather than letting the phrase "pre-registered" carry more weight than the evidence supports, and future registrations in this line of work will be anchored to a third-party timestamp at the moment of registration.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archive record's licence field is set to "Other (Open)" for this reason: no single identifier describes the deposit, and that field is not a blanket grant. Users must determine the applicable terms from the component they actually reuse.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closed-weight rewriter of the threat model (Section 3.2 declines to call it stronger, because no benchmark here licenses a capability ordering).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 my words: Analyzing and evaluating language model watermarks. In </w:t>
      </w:r>
      <w:r>
        <w:rPr>
          <w:i/>
          <w:iCs/>
        </w:rPr>
        <w:t xml:space="preserve">2025 IEEE Conference on Secure and Trustworthy Machine Learning (SaTML)</w:t>
      </w:r>
      <w:r>
        <w:t xml:space="preserve">. IEEE.</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2026-08-30T19:29:41.742Z</dcterms:created>
  <dcterms:modified xsi:type="dcterms:W3CDTF">2026-08-30T19:29:41.743Z</dcterms:modified>
</cp:coreProperties>
</file>

<file path=docProps/custom.xml><?xml version="1.0" encoding="utf-8"?>
<Properties xmlns="http://schemas.openxmlformats.org/officeDocument/2006/custom-properties" xmlns:vt="http://schemas.openxmlformats.org/officeDocument/2006/docPropsVTypes"/>
</file>