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evaluated predominantly on English. We measure three schemes (KGW, EXP, SynthID) on Turkish with MarkLLM and Qwen3-14B: 384 generated texts under ten removal attacks, a pre-registered false-positive study on 4,000 windows of human-written encyclopedic and older literary prose, and a two-judge meaning-preservation study. First, KGW's detector is miscalibrated on that human text: its null standard deviation is 1.479 against a theoretical 1, and the shipped z = 4 threshold gives 3 exceedances in 1,500 windows, about 63 times nominal (exact interval 13 to 184). The inflation holds across eight keys though the tail count does not (3 to 143), and it is not Turkish-specific: English shows the same tail count, and at matched token length we detect no difference. Turkish increases exposure to the same failure. Its subword fertility doubles the tokens a given reading length becomes, and inflation grows with tokens scored. Second, the detector flagging the fewest human windows is the most fragile: at its shipped threshold SynthID flags none of 1,500 against KGW's 3 and EXP's 13, yet loses the most area under the receiver operating characteristic curve (AUROC) under attack. With three schemes this is an observed pattern, not a trade-off. Third, laundering through an external LLM is the only attack degrading detection for all three schemes while LLM judges rated meaning preserved, though only KGW-arm pairs were judged. A planned morphological attack did not fire. We report its coverage and release corpus, scores and annotations.</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and are no longer independent. We put this forward as a proposed mechanism for the calibration results below. We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We use that term in a specific and limited sense throughout, and Section 7 gives the full statement: the hypotheses, protocol and decision rule were committed to version control before the corresponding data existed, and the commit hashes bind their content and ordering, but no independent third-party timestamp anchors the dates, so this is not a registry entry in the sense the term carries in clinical or psychological research. The two studies are: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accounts for the corpus's dependence structure. Because EXP is deterministic given prompt and key, its four seeds are not independent replicates, so all confidence intervals are prompt-clustered bootstrap intervals (effective n = 24 prompts). For degenerate AUROC = 1.000 cells we report counted separation and its margin descriptively, attaching no p-value or confidence bound, and Section 3.3 explains which three inferential treatments we withdrew and why. We also report the full realized false-positive table, since a threshold calibrated on clean negatives need not keep its nominal rate under attack.</w:t>
      </w:r>
    </w:p>
    <w:p>
      <w:pPr>
        <w:spacing w:after="120" w:line="276"/>
        <w:jc w:val="both"/>
      </w:pPr>
      <w:r>
        <w:t xml:space="preserve">Three findings follow, and because each is bounded in a different way the contribution list below states each with its own scope. The headline is a calibration failure on human Turkish: the KGW null standard deviation is 1.479 against a theoretical 1, and the shipped z = 4 threshold flags 3 of 1,500 excerpts, roughly 63 times nominal. Two of the three pre-registered S1 hypotheses are confirmed. The third, which attributed the inflation to Turkish rather than English, does not survive a length control we added after pre-registration, so Turkish worsens a failure common to both languages instead of creating a Turkish-specific one.</w:t>
      </w:r>
    </w:p>
    <w:p>
      <w:pPr>
        <w:spacing w:after="120" w:line="276"/>
        <w:jc w:val="both"/>
      </w:pPr>
      <w:r>
        <w:t xml:space="preserve">We also report a negative result. The study was originally motivated by the conjecture that Turkish morphology would itself furnish a meaning-preserving removal attack. It does not, on this corpus. The transforms target progressive -(I)yor forms that the formal register the generator produces rarely contains, so coverage is too low to move detection at all. Section 6 gives the edit counts, the surviving v0 slope and the retracted v1 slope.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The detector with the lowest human-text flag rate is the most fragile.</w:t>
      </w:r>
      <w:r>
        <w:t xml:space="preserve"> At its own shipped threshold SynthID falsely flags none of the 1,500 human Turkish windows, against 3 for KGW and 13 for EXP, but it takes the largest attack losses (AUROC 0.816 under round-trip translation, 0.747 under laundering), and is the more fragile scheme in all four of the six paired comparisons it enters, each with a Holm-adjusted p below .05 within that six-test family (the family was fixed before the per-scheme results were seen, while the two attack conditions it runs in were selected from the aggregate ranking, and Section 3.3 sets out what that does and does not affect). KGW and EXP are not separated by these data.</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w:t>
      </w:r>
    </w:p>
    <w:p>
      <w:pPr>
        <w:spacing w:after="120" w:line="276"/>
        <w:ind w:left="360" w:hanging="360"/>
        <w:jc w:val="both"/>
      </w:pPr>
      <w:r>
        <w:t xml:space="preserve">4. </w:t>
      </w:r>
      <w:r>
        <w:rPr>
          <w:b/>
          <w:bCs/>
        </w:rPr>
        <w:t xml:space="preserve">A documented negative result and the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and an automated check compares the manuscript's two inferential tables against that output cell by cell. Confidence intervals are prompt-clustered. Degenerate cells report counted separation descriptively, with no p-value attached. Exploratory observations are labeled as exploratory, and where a later control overturned a pre-registered conclusion we report the reversal.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Watermark evaluation already has benchmarks, and this paper is not the first. WaterBench (Tu et al., 2024) equalises watermark strength before comparing schemes and evaluates generation and detection across nine tasks. Mark My Words (Piet et al., 2025) scores schemes on quality, the number of tokens needed for detection, and tamper resistance. WaterPark (Liang et al., 2025) assembles ten watermarkers against twelve attacks in one platform. All three are cross-scheme and English-centred, and all three calibrate against model-generated negatives. We add a human-written negative distribution in a language none of them covers, together with register, token-length and watermark-key controls on that distribution, an axis orthogonal to theirs. Our contribution is therefore specific to one language and one negative distribution and does not amount to a more general benchmark. External rewriting, black-box removal, translation-based removal and character-level attacks all have direct antecedents (Section 2, below), and so does the use of Turkish morphology to manipulate a watermark. TR-WM-EVAL contributes a documented Turkish evaluation resource that combines human negatives at deployment length, a measurement of whether model-calibrated thresholds transfer to them, ten post-generation transformations, prompt-cluster-aware inference, and per-path licensing documentation, for three tested watermark configurations.</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Every attack family we run has an antecedent there, and none of them originates here. Removal without knowledge of the scheme is established: B⁴ formulates black-box scrubbing as a constrained optimisation over a watermark distribution and a fidelity distribution, assuming knowledge of neither the watermark type nor its hyperparameters (Huang et al., 2025), and De-mark removes n-gram watermarks by probing the model with queries to recover the red–green partition (Chen et al., 2025). Our launder_api is a far cruder member of that family: a single rewriting pass, with no optimisation and no probing. Translation-based removal is likewise established, both as round-trip translation (He et al., 2024) and as cross-lingual summarisation (Ganesan, 2025). So is the character-level family our diacritic-stripping attacks belong to: Z. Zhang et al. (2026) show that character-level edits such as typos, swaps and homoglyphs are disproportionately effective because they disrupt tokenization, so a single edit shifts many tokens at once. The Turkish-specific part is the ecology: writing ç, ğ, ı, ö, ş, ü as ASCII is ordinary keyboard practice, so the perturbation arrives in ordinary text at rates an attack model would not predict. On this axis we therefore contribute a measurement of known attack families on a language where their linguistic preconditions differ, under a pre-registered decision rule that requires meaning preservation and not only detection loss, and with self-laundering separated from laundering through an external model.</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also a language whose resources have been surveyed critically: Çöltekin et al. (2023) catalogue the available corpora and lexical resources and document persistent gaps in accessibility, licensing and register coverage, which is part of why we release the evaluation material here as a documented resource.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Repeated suffix subtokens provide a candidate mechanism for interaction with context-hash schemes such as KGW when the hashing window is short. Turkish morphology has in fact already been used to carry a watermark rather than to remove one. Meral et al. (2009), working on Turkish at Boğaziçi University, embed a watermark in natural-language text through morphosyntactic alteration, and their design turns on the same property we exploit: an agglutinative language affords many surface forms that leave the content intact. Their work long predates decoding-time statistical watermarking and pursues the opposite operation (they alter morphology to insert a signal, we alter it to strip one), but it is the closest linguistic antecedent to our morphological attack, and using Turkish morphology to manipulate a watermark is not new here. Morphological analysis for Turkish is available through the zeyrek analyzer (Bulat, 2022), an alpha-stage partial port of Zemberek, which we use to build that attack and, in the re-inflection variant only, to check that the edited form still parses to the same lemma. That check certifies word-level morphological analyzability, not sentence-level grammaticality. Section 3.2 states the limit and the subordinate-clause variant carries no analyzer check at all. The closest antecedent, however, calibrates against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The SynthID processor state is also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easy to misread as threshold tuning, so the sequence is set out here.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The calibration changed the instruction and left the bar unchanged.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and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while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as follows. morph (v0) applies a progressive-to-formal re-inflection (-Iyor to -mAktAdIr) and a subordinate-clause alternation. morph_v1 also drops copular suffixes, raising coverage. Measured coverage is low by construction of the register the model produces: morph makes a mean of 1.14 edits per text with 60.4% of texts receiving zero edits, while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USD 17.704, is reported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this artifact. The cap is now derived from the generation budget, and the episode is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instead of rows. Analytic intervals for this estimand exist (Newcombe, 2006), but they assume independence within each class and lose their coverage at the boundary values that the degenerate cells reported in Section 4.1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For these cells we report the separation descriptively and attach no p-value and no confidence bound (Section 4.1): the count of prompt clusters that separate completely, whether separation also holds globally, and the width of the gap in units of the clean-negative standard deviation. In all eleven cells every one of the 24 clusters separates, and the lowest watermarked statistic exceeds the highest of the 96 clean negatives. We report the margin because it differs by nearly two orders of magnitude across schemes, and presenting the cells as interchangeable would obscure that. It is 53.23 negative standard deviations for EXP on clean text but only 0.74 for KGW, so KGW's perfect separation is far more precarious than EXP's even though both round to 1.000.</w:t>
      </w:r>
    </w:p>
    <w:p>
      <w:pPr>
        <w:spacing w:after="120" w:line="276"/>
        <w:jc w:val="both"/>
      </w:pPr>
      <w:r>
        <w:t xml:space="preserve">Three successive inferential treatments of these cells were withdrawn during preparation, and the rule above is what survives. A one-sided Clopper–Pearson bound of 0.883 was withdrawn because Clopper–Pearson bounds the parameter of a binomial proportion whereas AUROC is a pairwise-ranking U-statistic (Bamber, 1975), so a cluster-level event probability is neither equal to nor a lower bound on the population AUROC. A within-prompt label-exchangeability permutation giving 10⁻⁴⁴·³ was withdrawn because exchangeability is not defensible for a scheme whose four seeds are deterministic. A prompt-level sign test giving 2⁻²⁴ was withdrawn because its 0.5 null is not derived from the design and because all 24 outcomes are compared against the same data-dependent comparator, the maximum of the pooled clean negatives, so they share a common random component and cannot be multiplied. A valid test here would have to permute labels at a unit whose exchangeability can be argued and recompute the comparator inside every permutation. We did not run one. The full derivation of each withdrawal is in the repository audit note </w:t>
      </w:r>
      <w:r>
        <w:rPr>
          <w:rFonts w:ascii="Consolas" w:cs="Consolas" w:eastAsia="Consolas" w:hAnsi="Consolas"/>
          <w:sz w:val="18"/>
          <w:szCs w:val="18"/>
        </w:rPr>
        <w:t xml:space="preserve">DENETIM_NOTU_geri_cekilen_cikarimlar.md</w:t>
      </w:r>
      <w:r>
        <w:t xml:space="preserve">, and a build-time check fails the release if any of these quantities reappears in a generated artifact.</w:t>
      </w:r>
    </w:p>
    <w:p>
      <w:pPr>
        <w:spacing w:after="120" w:line="276"/>
        <w:jc w:val="both"/>
      </w:pPr>
      <w:r>
        <w:t xml:space="preserve">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The full 33-cell table (3 schemes by 11 conditions, the untransformed clean reference included) of realized FPR at that threshold on the corresponding negatives is reported, with one-sided binomial comparisons against the nominal rate under Bonferroni correction across the 33 cells. Those comparisons treat the 96 attacked negatives in a cell as independent, which they are not. They are four per prompt across 24 prompts, and the threshold is itself estimated from the 96 clean negatives. We therefore read the table descriptively and do not rest any conclusion on its cell-level significance.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The two conditions carried into the focused comparisons, rtt and launder_api, were chosen after the aggregate attack ranking reported in Section 4.2 was inspected. They were not pre-specified. The test family built on them was fixed before the per-scheme results were seen. That selection has a consequence for how the two focused comparisons of Section 4.2 should be read, and it is not the same consequence for both. Because the conditions were chosen on a functional of the same outcome data, the multiplicity adjustments reported in Section 4.2 apply only within the families those comparisons display and do not account for the preceding selection among ten attacks. For the scheme-pairwise comparison the selection axis and the contrast axis are different: the ranking that chose the conditions averages over schemes, whereas the tests compare schemes within a condition, so the quantity that drove the selection is not the quantity being tested, and the Holm adjustment over the six tests of that family keeps its ordinary interpretation within them. For the launder_api-versus-rtt comparison the two axes coincide: the ranking placed launder_api above rtt, and that comparison asks, within each scheme, whether launder_api is the more destructive of that pair. Its p-values are therefore selection-conditional, and we report that comparison as an exploratory post-selection contrast rather than as a familywise-controlled test. There the effect sizes with their clustered intervals, which do not depend on the ordering that drove the selection, are the primary quantity, and the p-values are retained as secondary description. Within each scheme, rtt and launder_api are compared on the same unit: the per-prompt detection rate at that scheme's own clean-calibrated threshold, with Bonferroni correction across the three schemes (α = 0.05/3 ≈ 0.0167). Because each rate is computed over four seeds it can take only five values, so ties and exactly-zero differences are common (6 to 11 of 24 pairs, depending on the scheme). We therefore report a two-sided exact paired sign-flip permutation test as the primary p-value, conditional on within-prompt exchangeability of the two attack outcomes. That exchangeability is an assumption. The two conditions are substantively different transformations, not randomly assigned labels, so exchangeability is a modelling assumption about the null and not something randomisation delivers. The pairing does supply what the withdrawn test of the degenerate cells lacked: a matched unit (swapping the two conditions within a prompt maps onto flipping the sign of that prompt's difference) and a comparator that is invariant to the swap. Alongside it we report a Wilcoxon signed-rank test using Pratt's convention, which ranks zero differences rather than discarding them. We also report the mean rate difference with a prompt-clustered bootstrap interval, because a p-value alone does not convey the size of the effect. That interval resamples prompt clusters jointly across the clean negatives and both attack arms and re-derives the threshold inside every replicate, so it carries the uncertainty of the calibration sample. The permutation p-value remains conditional on the observed calibration sample. An earlier version of this comparison ran on the per-prompt mean raw statistic instead. That test is internally valid (within a scheme the scale is fixed), but it estimates mean detector-score displacement, not the change in detection at the operating threshold that the surrounding text describes. Correcting the unit changes which scheme survives correction.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unique pairs, every pair presented in both orders, giving 80 ordered presentations but 40 independent pair units per condition per judge. The inferential unit is the pair, and the two orders are a repeated measure used to detect position bias.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from different model families are used: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The pre-registration therefore requires agreement of both judges for any launder_api verdict, and fluency conclusions are drawn only from the independent judge. Position bias is a documented failure mode of pairwise LLM judging.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its margin for these cells, descriptively and with no p-value,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and margin, descriptively and with no p-value or confidence bound, for the reasons given in Section 3.3. Attacks: dia50/dia100 = diacritic stripping (50%/100%), morph/morph_v1 = morphological transforms via zeyrek (Bulat, 2022), rtt = NLLB round-trip translation TR→EN→TR (NLLB Team et al., 2024), para/launder = self-paraphrase by the generator (Yang et al., 2025), and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"Global separation" records whether the lowest watermarked score in the cell exceeds the maximum of all 96 clean negatives. No p-value is attached. As Section 3.3 explains, the 24 cluster outcomes are compared against a single data-dependent comparator and cannot be treated as independent Bernoulli trials.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Global separation</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left"/>
            </w:pPr>
            <w:r>
              <w:rPr>
                <w:sz w:val="17"/>
                <w:szCs w:val="17"/>
              </w:rPr>
              <w:t xml:space="preserve">yes</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against the clean condition, averaged over schemes (Fig. 1). Two dominate: external laundering at 0.158 and round-trip translation at 0.091. The diacritic family produces small but non-zero drops, self-paraphrase attacks are near zero, and the two purely morphological attacks drop exactly 0.000, a negative result analyzed in Section 6. The instructive contrast is within the laundering pair. Routed through the generator itself the attack is nearly harmless (0.008), while the same operation through an external model is the strongest observed, taking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771900"/>
                    </a:xfrm>
                    <a:prstGeom prst="rect">
                      <a:avLst/>
                    </a:prstGeom>
                  </pic:spPr>
                </pic:pic>
              </a:graphicData>
            </a:graphic>
          </wp:inline>
        </w:drawing>
      </w:r>
    </w:p>
    <w:p>
      <w:pPr>
        <w:spacing w:after="120" w:line="276"/>
        <w:jc w:val="both"/>
      </w:pPr>
      <w:r>
        <w:rPr>
          <w:b/>
          <w:bCs/>
        </w:rPr>
        <w:t xml:space="preserve">Fig. 1</w:t>
      </w:r>
      <w: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margin for those cells. Generated by </w:t>
      </w:r>
      <w:r>
        <w:rPr>
          <w:rFonts w:ascii="Consolas" w:cs="Consolas" w:eastAsia="Consolas" w:hAnsi="Consolas"/>
          <w:sz w:val="18"/>
          <w:szCs w:val="18"/>
        </w:rPr>
        <w:t xml:space="preserve">paper/make_figures.py</w:t>
      </w:r>
      <w:r>
        <w:t xml:space="preserve"> from </w:t>
      </w:r>
      <w:r>
        <w:rPr>
          <w:rFonts w:ascii="Consolas" w:cs="Consolas" w:eastAsia="Consolas" w:hAnsi="Consolas"/>
          <w:sz w:val="18"/>
          <w:szCs w:val="18"/>
        </w:rPr>
        <w:t xml:space="preserve">results/detection_metrics.csv</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and rtt to 0.594, 0.792 and 0.312 (Table 5). These are small-sample estimates, and their prompt-clustered intervals are wide, spanning [0.198, 0.729] for KGW under launder_api and [0.073, 0.385] for SynthID. The ordering among schemes at a fixed attack should therefore not be read from these point values, and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Laundering versus translation.</w:t>
      </w:r>
      <w:r>
        <w:t xml:space="preserve"> We compare launder_api against rtt on per-prompt detection rates at each scheme's clean-calibrated threshold (n = 24 prompts, as row-level tests would violate the clustering structure identified above). The direction is consistent in all three schemes: the mean per-prompt detection rate is lower under launder_api, by 0.167 for KGW, 0.302 for EXP and 0.063 for SynthID. Only EXP falls below the Bonferroni threshold of the displayed three-scheme family (two-sided exact sign-flip permutation p = 0.012 against α = 0.0167). KGW's uncorrected p is 0.024, above that threshold, and SynthID's is 0.415, far from it. These are exploratory post-selection contrasts, for the reason set out in Section 3.3. The ranking that selected this pair of conditions is the same ordering the test then re-examines, so the adjustment covers the three displayed comparisons and not the search over ten attacks that produced them. We therefore read the effect sizes rather than the decisions. The direction is the same in all three schemes, and the estimated size of the effect is largest for EXP. The marginal, uncorrected 95% intervals exclude zero for EXP, [−0.510, −0.115], and for KGW, [−0.271, −0.052], and include it for SynthID, [−0.188, +0.042]. KGW's interval excludes zero while its p sits above the Bonferroni threshold. The two are compatible: a marginal interval and a corrected decision at α = 0.0167 control different error rates, and both are reported. Under the within-prompt exchangeability assumption of Section 3.3, and conditional on the selection just described, the evidence for laundering being the more destructive of the two is strongest for EXP and weakest for SynthID.</w:t>
      </w:r>
    </w:p>
    <w:p>
      <w:pPr>
        <w:spacing w:after="140" w:before="60"/>
        <w:jc w:val="left"/>
      </w:pPr>
      <w:r>
        <w:rPr>
          <w:b/>
          <w:bCs/>
          <w:sz w:val="17"/>
          <w:szCs w:val="17"/>
        </w:rPr>
        <w:t xml:space="preserve">Table 5.</w:t>
      </w:r>
      <w:r>
        <w:rPr>
          <w:sz w:val="17"/>
          <w:szCs w:val="17"/>
        </w:rPr>
        <w:t xml:space="preserve"> Prompt-level paired comparison of launder_api vs. rtt on per-prompt detection rates at the clean-calibrated threshold (n = 24 prompts per scheme). </w:t>
      </w:r>
      <w:r>
        <w:rPr>
          <w:b/>
          <w:bCs/>
          <w:sz w:val="17"/>
          <w:szCs w:val="17"/>
        </w:rPr>
        <w:t xml:space="preserve">These are exploratory post-selection contrasts</w:t>
      </w:r>
      <w:r>
        <w:rPr>
          <w:sz w:val="17"/>
          <w:szCs w:val="17"/>
        </w:rPr>
        <w:t xml:space="preserve">: the two conditions were chosen after the aggregate attack ranking of Table 4 was inspected, and that ranking already ordered launder_api above rtt, so the Bonferroni adjustment shown here (over the 3 displayed schemes, α = 0.05/3 ≈ 0.0167) does not account for the selection step and the last column is not a familywise significance verdict. Δ, with its interval, is the primary quantity. Δ is the mean per-prompt rate difference (launder_api − rtt, negative = laundering more destructive) with its marginal, uncorrected prompt-clustered bootstrap 95% CI, which resamples clusters jointly across the clean negatives and both attack arms and re-derives the threshold in every replicate. Because a rate over four seeds takes only five values, "non-zero" gives the number of prompt pairs with a non-zero difference. "TPR laund." is the detection rate under launder_api. "Perm. p" is the two-sided exact paired sign-flip permutation test over the non-zero pairs, conditional on the observed calibration sample. "Pratt p" is the Wilcoxon signed-rank test under Pratt's convention, which ranks zero differences rather than discarding them.</w:t>
      </w:r>
    </w:p>
    <w:tbl>
      <w:tblPr>
        <w:tblW w:type="dxa" w:w="9360"/>
        <w:tblBorders>
          <w:top w:val="single" w:color="444444" w:sz="6"/>
          <w:left w:val="none"/>
          <w:bottom w:val="single" w:color="444444" w:sz="6"/>
          <w:right w:val="none"/>
          <w:insideH w:val="single" w:color="DDE1DE" w:sz="2"/>
          <w:insideV w:val="none"/>
        </w:tblBorders>
      </w:tblPr>
      <w:tblGrid>
        <w:gridCol w:w="2059"/>
        <w:gridCol w:w="1043"/>
        <w:gridCol w:w="1043"/>
        <w:gridCol w:w="1043"/>
        <w:gridCol w:w="1043"/>
        <w:gridCol w:w="1043"/>
        <w:gridCol w:w="1043"/>
        <w:gridCol w:w="1043"/>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laund.</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Δ [95% CI]</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Non-zero</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Perm. p</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Pratt p</w:t>
            </w:r>
          </w:p>
        </w:tc>
        <w:tc>
          <w:tcPr>
            <w:tcW w:type="dxa" w:w="1043"/>
            <w:shd w:fill="EFF1F0" w:val="clear"/>
            <w:tcMar>
              <w:top w:type="dxa" w:w="60"/>
              <w:left w:type="dxa" w:w="100"/>
              <w:bottom w:type="dxa" w:w="60"/>
              <w:right w:type="dxa" w:w="100"/>
            </w:tcMar>
          </w:tcPr>
          <w:p>
            <w:pPr>
              <w:spacing w:after="0"/>
              <w:jc w:val="left"/>
            </w:pPr>
            <w:r>
              <w:rPr>
                <w:b/>
                <w:bCs/>
                <w:sz w:val="17"/>
                <w:szCs w:val="17"/>
              </w:rPr>
              <w:t xml:space="preserve">vs. within-family α</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043"/>
            <w:tcMar>
              <w:top w:type="dxa" w:w="60"/>
              <w:left w:type="dxa" w:w="100"/>
              <w:bottom w:type="dxa" w:w="60"/>
              <w:right w:type="dxa" w:w="100"/>
            </w:tcMar>
          </w:tcPr>
          <w:p>
            <w:pPr>
              <w:spacing w:after="0"/>
              <w:jc w:val="right"/>
            </w:pPr>
            <w:r>
              <w:rPr>
                <w:sz w:val="17"/>
                <w:szCs w:val="17"/>
              </w:rPr>
              <w:t xml:space="preserve">0.594</w:t>
            </w:r>
          </w:p>
        </w:tc>
        <w:tc>
          <w:tcPr>
            <w:tcW w:type="dxa" w:w="1043"/>
            <w:tcMar>
              <w:top w:type="dxa" w:w="60"/>
              <w:left w:type="dxa" w:w="100"/>
              <w:bottom w:type="dxa" w:w="60"/>
              <w:right w:type="dxa" w:w="100"/>
            </w:tcMar>
          </w:tcPr>
          <w:p>
            <w:pPr>
              <w:spacing w:after="0"/>
              <w:jc w:val="right"/>
            </w:pPr>
            <w:r>
              <w:rPr>
                <w:sz w:val="17"/>
                <w:szCs w:val="17"/>
              </w:rPr>
              <w:t xml:space="preserve">0.427</w:t>
            </w:r>
          </w:p>
        </w:tc>
        <w:tc>
          <w:tcPr>
            <w:tcW w:type="dxa" w:w="1043"/>
            <w:tcMar>
              <w:top w:type="dxa" w:w="60"/>
              <w:left w:type="dxa" w:w="100"/>
              <w:bottom w:type="dxa" w:w="60"/>
              <w:right w:type="dxa" w:w="100"/>
            </w:tcMar>
          </w:tcPr>
          <w:p>
            <w:pPr>
              <w:spacing w:after="0"/>
              <w:jc w:val="right"/>
            </w:pPr>
            <w:r>
              <w:rPr>
                <w:sz w:val="17"/>
                <w:szCs w:val="17"/>
              </w:rPr>
              <w:t xml:space="preserve">−0.167 [−0.271, −0.052]</w:t>
            </w:r>
          </w:p>
        </w:tc>
        <w:tc>
          <w:tcPr>
            <w:tcW w:type="dxa" w:w="1043"/>
            <w:tcMar>
              <w:top w:type="dxa" w:w="60"/>
              <w:left w:type="dxa" w:w="100"/>
              <w:bottom w:type="dxa" w:w="60"/>
              <w:right w:type="dxa" w:w="100"/>
            </w:tcMar>
          </w:tcPr>
          <w:p>
            <w:pPr>
              <w:spacing w:after="0"/>
              <w:jc w:val="right"/>
            </w:pPr>
            <w:r>
              <w:rPr>
                <w:sz w:val="17"/>
                <w:szCs w:val="17"/>
              </w:rPr>
              <w:t xml:space="preserve">13/24</w:t>
            </w:r>
          </w:p>
        </w:tc>
        <w:tc>
          <w:tcPr>
            <w:tcW w:type="dxa" w:w="1043"/>
            <w:tcMar>
              <w:top w:type="dxa" w:w="60"/>
              <w:left w:type="dxa" w:w="100"/>
              <w:bottom w:type="dxa" w:w="60"/>
              <w:right w:type="dxa" w:w="100"/>
            </w:tcMar>
          </w:tcPr>
          <w:p>
            <w:pPr>
              <w:spacing w:after="0"/>
              <w:jc w:val="right"/>
            </w:pPr>
            <w:r>
              <w:rPr>
                <w:sz w:val="17"/>
                <w:szCs w:val="17"/>
              </w:rPr>
              <w:t xml:space="preserve">0.024</w:t>
            </w:r>
          </w:p>
        </w:tc>
        <w:tc>
          <w:tcPr>
            <w:tcW w:type="dxa" w:w="1043"/>
            <w:tcMar>
              <w:top w:type="dxa" w:w="60"/>
              <w:left w:type="dxa" w:w="100"/>
              <w:bottom w:type="dxa" w:w="60"/>
              <w:right w:type="dxa" w:w="100"/>
            </w:tcMar>
          </w:tcPr>
          <w:p>
            <w:pPr>
              <w:spacing w:after="0"/>
              <w:jc w:val="right"/>
            </w:pPr>
            <w:r>
              <w:rPr>
                <w:sz w:val="17"/>
                <w:szCs w:val="17"/>
              </w:rPr>
              <w:t xml:space="preserve">0.029</w:t>
            </w:r>
          </w:p>
        </w:tc>
        <w:tc>
          <w:tcPr>
            <w:tcW w:type="dxa" w:w="1043"/>
            <w:tcMar>
              <w:top w:type="dxa" w:w="60"/>
              <w:left w:type="dxa" w:w="100"/>
              <w:bottom w:type="dxa" w:w="60"/>
              <w:right w:type="dxa" w:w="100"/>
            </w:tcMar>
          </w:tcPr>
          <w:p>
            <w:pPr>
              <w:spacing w:after="0"/>
              <w:jc w:val="left"/>
            </w:pPr>
            <w:r>
              <w:rPr>
                <w:sz w:val="17"/>
                <w:szCs w:val="17"/>
              </w:rPr>
              <w:t xml:space="preserve">above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043"/>
            <w:tcMar>
              <w:top w:type="dxa" w:w="60"/>
              <w:left w:type="dxa" w:w="100"/>
              <w:bottom w:type="dxa" w:w="60"/>
              <w:right w:type="dxa" w:w="100"/>
            </w:tcMar>
          </w:tcPr>
          <w:p>
            <w:pPr>
              <w:spacing w:after="0"/>
              <w:jc w:val="right"/>
            </w:pPr>
            <w:r>
              <w:rPr>
                <w:sz w:val="17"/>
                <w:szCs w:val="17"/>
              </w:rPr>
              <w:t xml:space="preserve">0.792</w:t>
            </w:r>
          </w:p>
        </w:tc>
        <w:tc>
          <w:tcPr>
            <w:tcW w:type="dxa" w:w="1043"/>
            <w:tcMar>
              <w:top w:type="dxa" w:w="60"/>
              <w:left w:type="dxa" w:w="100"/>
              <w:bottom w:type="dxa" w:w="60"/>
              <w:right w:type="dxa" w:w="100"/>
            </w:tcMar>
          </w:tcPr>
          <w:p>
            <w:pPr>
              <w:spacing w:after="0"/>
              <w:jc w:val="right"/>
            </w:pPr>
            <w:r>
              <w:rPr>
                <w:sz w:val="17"/>
                <w:szCs w:val="17"/>
              </w:rPr>
              <w:t xml:space="preserve">0.490</w:t>
            </w:r>
          </w:p>
        </w:tc>
        <w:tc>
          <w:tcPr>
            <w:tcW w:type="dxa" w:w="1043"/>
            <w:tcMar>
              <w:top w:type="dxa" w:w="60"/>
              <w:left w:type="dxa" w:w="100"/>
              <w:bottom w:type="dxa" w:w="60"/>
              <w:right w:type="dxa" w:w="100"/>
            </w:tcMar>
          </w:tcPr>
          <w:p>
            <w:pPr>
              <w:spacing w:after="0"/>
              <w:jc w:val="right"/>
            </w:pPr>
            <w:r>
              <w:rPr>
                <w:sz w:val="17"/>
                <w:szCs w:val="17"/>
              </w:rPr>
              <w:t xml:space="preserve">−0.302 [−0.510, −0.115]</w:t>
            </w:r>
          </w:p>
        </w:tc>
        <w:tc>
          <w:tcPr>
            <w:tcW w:type="dxa" w:w="1043"/>
            <w:tcMar>
              <w:top w:type="dxa" w:w="60"/>
              <w:left w:type="dxa" w:w="100"/>
              <w:bottom w:type="dxa" w:w="60"/>
              <w:right w:type="dxa" w:w="100"/>
            </w:tcMar>
          </w:tcPr>
          <w:p>
            <w:pPr>
              <w:spacing w:after="0"/>
              <w:jc w:val="right"/>
            </w:pPr>
            <w:r>
              <w:rPr>
                <w:sz w:val="17"/>
                <w:szCs w:val="17"/>
              </w:rPr>
              <w:t xml:space="preserve">18/24</w:t>
            </w:r>
          </w:p>
        </w:tc>
        <w:tc>
          <w:tcPr>
            <w:tcW w:type="dxa" w:w="1043"/>
            <w:tcMar>
              <w:top w:type="dxa" w:w="60"/>
              <w:left w:type="dxa" w:w="100"/>
              <w:bottom w:type="dxa" w:w="60"/>
              <w:right w:type="dxa" w:w="100"/>
            </w:tcMar>
          </w:tcPr>
          <w:p>
            <w:pPr>
              <w:spacing w:after="0"/>
              <w:jc w:val="right"/>
            </w:pPr>
            <w:r>
              <w:rPr>
                <w:sz w:val="17"/>
                <w:szCs w:val="17"/>
              </w:rPr>
              <w:t xml:space="preserve">0.012</w:t>
            </w:r>
          </w:p>
        </w:tc>
        <w:tc>
          <w:tcPr>
            <w:tcW w:type="dxa" w:w="1043"/>
            <w:tcMar>
              <w:top w:type="dxa" w:w="60"/>
              <w:left w:type="dxa" w:w="100"/>
              <w:bottom w:type="dxa" w:w="60"/>
              <w:right w:type="dxa" w:w="100"/>
            </w:tcMar>
          </w:tcPr>
          <w:p>
            <w:pPr>
              <w:spacing w:after="0"/>
              <w:jc w:val="right"/>
            </w:pPr>
            <w:r>
              <w:rPr>
                <w:sz w:val="17"/>
                <w:szCs w:val="17"/>
              </w:rPr>
              <w:t xml:space="preserve">0.011</w:t>
            </w:r>
          </w:p>
        </w:tc>
        <w:tc>
          <w:tcPr>
            <w:tcW w:type="dxa" w:w="1043"/>
            <w:tcMar>
              <w:top w:type="dxa" w:w="60"/>
              <w:left w:type="dxa" w:w="100"/>
              <w:bottom w:type="dxa" w:w="60"/>
              <w:right w:type="dxa" w:w="100"/>
            </w:tcMar>
          </w:tcPr>
          <w:p>
            <w:pPr>
              <w:spacing w:after="0"/>
              <w:jc w:val="left"/>
            </w:pPr>
            <w:r>
              <w:rPr>
                <w:sz w:val="17"/>
                <w:szCs w:val="17"/>
              </w:rPr>
              <w:t xml:space="preserve">below</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043"/>
            <w:tcMar>
              <w:top w:type="dxa" w:w="60"/>
              <w:left w:type="dxa" w:w="100"/>
              <w:bottom w:type="dxa" w:w="60"/>
              <w:right w:type="dxa" w:w="100"/>
            </w:tcMar>
          </w:tcPr>
          <w:p>
            <w:pPr>
              <w:spacing w:after="0"/>
              <w:jc w:val="right"/>
            </w:pPr>
            <w:r>
              <w:rPr>
                <w:sz w:val="17"/>
                <w:szCs w:val="17"/>
              </w:rPr>
              <w:t xml:space="preserve">0.312</w:t>
            </w:r>
          </w:p>
        </w:tc>
        <w:tc>
          <w:tcPr>
            <w:tcW w:type="dxa" w:w="1043"/>
            <w:tcMar>
              <w:top w:type="dxa" w:w="60"/>
              <w:left w:type="dxa" w:w="100"/>
              <w:bottom w:type="dxa" w:w="60"/>
              <w:right w:type="dxa" w:w="100"/>
            </w:tcMar>
          </w:tcPr>
          <w:p>
            <w:pPr>
              <w:spacing w:after="0"/>
              <w:jc w:val="right"/>
            </w:pPr>
            <w:r>
              <w:rPr>
                <w:sz w:val="17"/>
                <w:szCs w:val="17"/>
              </w:rPr>
              <w:t xml:space="preserve">0.250</w:t>
            </w:r>
          </w:p>
        </w:tc>
        <w:tc>
          <w:tcPr>
            <w:tcW w:type="dxa" w:w="1043"/>
            <w:tcMar>
              <w:top w:type="dxa" w:w="60"/>
              <w:left w:type="dxa" w:w="100"/>
              <w:bottom w:type="dxa" w:w="60"/>
              <w:right w:type="dxa" w:w="100"/>
            </w:tcMar>
          </w:tcPr>
          <w:p>
            <w:pPr>
              <w:spacing w:after="0"/>
              <w:jc w:val="right"/>
            </w:pPr>
            <w:r>
              <w:rPr>
                <w:sz w:val="17"/>
                <w:szCs w:val="17"/>
              </w:rPr>
              <w:t xml:space="preserve">−0.063 [−0.188, +0.042]</w:t>
            </w:r>
          </w:p>
        </w:tc>
        <w:tc>
          <w:tcPr>
            <w:tcW w:type="dxa" w:w="1043"/>
            <w:tcMar>
              <w:top w:type="dxa" w:w="60"/>
              <w:left w:type="dxa" w:w="100"/>
              <w:bottom w:type="dxa" w:w="60"/>
              <w:right w:type="dxa" w:w="100"/>
            </w:tcMar>
          </w:tcPr>
          <w:p>
            <w:pPr>
              <w:spacing w:after="0"/>
              <w:jc w:val="right"/>
            </w:pPr>
            <w:r>
              <w:rPr>
                <w:sz w:val="17"/>
                <w:szCs w:val="17"/>
              </w:rPr>
              <w:t xml:space="preserve">16/24</w:t>
            </w:r>
          </w:p>
        </w:tc>
        <w:tc>
          <w:tcPr>
            <w:tcW w:type="dxa" w:w="1043"/>
            <w:tcMar>
              <w:top w:type="dxa" w:w="60"/>
              <w:left w:type="dxa" w:w="100"/>
              <w:bottom w:type="dxa" w:w="60"/>
              <w:right w:type="dxa" w:w="100"/>
            </w:tcMar>
          </w:tcPr>
          <w:p>
            <w:pPr>
              <w:spacing w:after="0"/>
              <w:jc w:val="right"/>
            </w:pPr>
            <w:r>
              <w:rPr>
                <w:sz w:val="17"/>
                <w:szCs w:val="17"/>
              </w:rPr>
              <w:t xml:space="preserve">0.415</w:t>
            </w:r>
          </w:p>
        </w:tc>
        <w:tc>
          <w:tcPr>
            <w:tcW w:type="dxa" w:w="1043"/>
            <w:tcMar>
              <w:top w:type="dxa" w:w="60"/>
              <w:left w:type="dxa" w:w="100"/>
              <w:bottom w:type="dxa" w:w="60"/>
              <w:right w:type="dxa" w:w="100"/>
            </w:tcMar>
          </w:tcPr>
          <w:p>
            <w:pPr>
              <w:spacing w:after="0"/>
              <w:jc w:val="right"/>
            </w:pPr>
            <w:r>
              <w:rPr>
                <w:sz w:val="17"/>
                <w:szCs w:val="17"/>
              </w:rPr>
              <w:t xml:space="preserve">0.189</w:t>
            </w:r>
          </w:p>
        </w:tc>
        <w:tc>
          <w:tcPr>
            <w:tcW w:type="dxa" w:w="1043"/>
            <w:tcMar>
              <w:top w:type="dxa" w:w="60"/>
              <w:left w:type="dxa" w:w="100"/>
              <w:bottom w:type="dxa" w:w="60"/>
              <w:right w:type="dxa" w:w="100"/>
            </w:tcMar>
          </w:tcPr>
          <w:p>
            <w:pPr>
              <w:spacing w:after="0"/>
              <w:jc w:val="left"/>
            </w:pPr>
            <w:r>
              <w:rPr>
                <w:sz w:val="17"/>
                <w:szCs w:val="17"/>
              </w:rPr>
              <w:t xml:space="preserve">above</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Holm-corrected) was specified before the per-scheme results were inspected (Section 3.3). The two conditions the family is built on were themselves selected from the aggregate ranking, but on the axis that matters here that selection is orthogonal to the contrast. The ranking averages over schemes, whereas these tests compare schemes within a condition. The Holm adjustment therefore retains its ordinary interpretation over the six displayed tests, while carrying no guarantee about the choice of the two conditions in which they are computed. Within that family SynthID is the more fragile scheme in every comparison it enters: all four tests involving SynthID have Holm-adjusted p-values below .05, with mean rate differences from 0.177 to 0.479 (Table 6). KGW and EXP are not separated by these data under either attack (p = 0.104 and p = 0.513), which at n = 24 is a failure to reject and not evidence of equivalence.</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 The two conditions in which the tests are computed were selected from the aggregate attack ranking (Section 3.3). Because that ranking averages over schemes and these tests contrast schemes, the adjustment is interpreted within the six displayed tests and makes no claim about the selection of the conditions.</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0.0003</w:t>
            </w:r>
          </w:p>
        </w:tc>
        <w:tc>
          <w:tcPr>
            <w:tcW w:type="dxa" w:w="1216"/>
            <w:tcMar>
              <w:top w:type="dxa" w:w="60"/>
              <w:left w:type="dxa" w:w="100"/>
              <w:bottom w:type="dxa" w:w="60"/>
              <w:right w:type="dxa" w:w="100"/>
            </w:tcMar>
          </w:tcPr>
          <w:p>
            <w:pPr>
              <w:spacing w:after="0"/>
              <w:jc w:val="right"/>
            </w:pPr>
            <w:r>
              <w:rPr>
                <w:sz w:val="17"/>
                <w:szCs w:val="17"/>
              </w:rPr>
              <w:t xml:space="preserve">0.0083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0.0012</w:t>
            </w:r>
          </w:p>
        </w:tc>
        <w:tc>
          <w:tcPr>
            <w:tcW w:type="dxa" w:w="1216"/>
            <w:tcMar>
              <w:top w:type="dxa" w:w="60"/>
              <w:left w:type="dxa" w:w="100"/>
              <w:bottom w:type="dxa" w:w="60"/>
              <w:right w:type="dxa" w:w="100"/>
            </w:tcMar>
          </w:tcPr>
          <w:p>
            <w:pPr>
              <w:spacing w:after="0"/>
              <w:jc w:val="right"/>
            </w:pPr>
            <w:r>
              <w:rPr>
                <w:sz w:val="17"/>
                <w:szCs w:val="17"/>
              </w:rPr>
              <w:t xml:space="preserve">0.0100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0.2396</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0.0034</w:t>
            </w:r>
          </w:p>
        </w:tc>
        <w:tc>
          <w:tcPr>
            <w:tcW w:type="dxa" w:w="1216"/>
            <w:tcMar>
              <w:top w:type="dxa" w:w="60"/>
              <w:left w:type="dxa" w:w="100"/>
              <w:bottom w:type="dxa" w:w="60"/>
              <w:right w:type="dxa" w:w="100"/>
            </w:tcMar>
          </w:tcPr>
          <w:p>
            <w:pPr>
              <w:spacing w:after="0"/>
              <w:jc w:val="right"/>
            </w:pPr>
            <w:r>
              <w:rPr>
                <w:sz w:val="17"/>
                <w:szCs w:val="17"/>
              </w:rPr>
              <w:t xml:space="preserve">0.0125</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0.0126</w:t>
            </w:r>
          </w:p>
        </w:tc>
        <w:tc>
          <w:tcPr>
            <w:tcW w:type="dxa" w:w="1216"/>
            <w:tcMar>
              <w:top w:type="dxa" w:w="60"/>
              <w:left w:type="dxa" w:w="100"/>
              <w:bottom w:type="dxa" w:w="60"/>
              <w:right w:type="dxa" w:w="100"/>
            </w:tcMar>
          </w:tcPr>
          <w:p>
            <w:pPr>
              <w:spacing w:after="0"/>
              <w:jc w:val="right"/>
            </w:pPr>
            <w:r>
              <w:rPr>
                <w:sz w:val="17"/>
                <w:szCs w:val="17"/>
              </w:rPr>
              <w:t xml:space="preserve">0.0167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0.1039</w:t>
            </w:r>
          </w:p>
        </w:tc>
        <w:tc>
          <w:tcPr>
            <w:tcW w:type="dxa" w:w="1216"/>
            <w:tcMar>
              <w:top w:type="dxa" w:w="60"/>
              <w:left w:type="dxa" w:w="100"/>
              <w:bottom w:type="dxa" w:w="60"/>
              <w:right w:type="dxa" w:w="100"/>
            </w:tcMar>
          </w:tcPr>
          <w:p>
            <w:pPr>
              <w:spacing w:after="0"/>
              <w:jc w:val="right"/>
            </w:pPr>
            <w:r>
              <w:rPr>
                <w:sz w:val="17"/>
                <w:szCs w:val="17"/>
              </w:rPr>
              <w:t xml:space="preserve">0.0250</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−0.0625</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0.5127</w:t>
            </w:r>
          </w:p>
        </w:tc>
        <w:tc>
          <w:tcPr>
            <w:tcW w:type="dxa" w:w="1216"/>
            <w:tcMar>
              <w:top w:type="dxa" w:w="60"/>
              <w:left w:type="dxa" w:w="100"/>
              <w:bottom w:type="dxa" w:w="60"/>
              <w:right w:type="dxa" w:w="100"/>
            </w:tcMar>
          </w:tcPr>
          <w:p>
            <w:pPr>
              <w:spacing w:after="0"/>
              <w:jc w:val="right"/>
            </w:pPr>
            <w:r>
              <w:rPr>
                <w:sz w:val="17"/>
                <w:szCs w:val="17"/>
              </w:rPr>
              <w:t xml:space="preserve">0.0500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Table 7 gives all 33 cells. The highest realized false-positive rate is 6.2%, against the 1% the threshold was set for. Under a one-sided binomial comparison with Bonferroni correction over the 33 cells, 2 cells depart from nominal (EXP/launder_api, SynthID/morph_v1+dia). Because these comparisons ignore the prompt clustering described above, the intervals are anticonservative and we report the flag as descriptive rather than as a test result. With 96 negatives per cell the resolution is 1/96 = 1.0%, so smaller departures cannot be distinguished here. That limit is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table is descriptive. The 95% upper bound is a binomial bound over 96 rows, but those rows are four per prompt across 24 prompt clusters, so the bound is anticonservative, and the threshold is estimated from the same small clean sample.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(Section 4.4 gives the per-scheme ΔAUROC values). Laundering through an external model is thus the only attack in this study that satisfies the rule for every scheme tested. SynthID's position is the mirror image of its calibration behavior reported in Section 4.3 (Fig. 2): the scheme most fragile under attack is also the one that falsely flags the fewest human windows at its own shipped threshold, an inverse pattern across the three schemes that we return to in the Discussion. With three schemes this is a described pattern, not an established trade-off.</w:t>
      </w:r>
    </w:p>
    <w:p>
      <w:pPr>
        <w:spacing w:after="60" w:before="180"/>
        <w:jc w:val="center"/>
      </w:pPr>
      <w:r>
        <w:drawing>
          <wp:inline distT="0" distB="0" distL="0" distR="0">
            <wp:extent cx="53911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914775"/>
                    </a:xfrm>
                    <a:prstGeom prst="rect">
                      <a:avLst/>
                    </a:prstGeom>
                  </pic:spPr>
                </pic:pic>
              </a:graphicData>
            </a:graphic>
          </wp:inline>
        </w:drawing>
      </w:r>
    </w:p>
    <w:p>
      <w:pPr>
        <w:spacing w:after="120" w:line="276"/>
        <w:jc w:val="both"/>
      </w:pPr>
      <w:r>
        <w:rPr>
          <w:b/>
          <w:bCs/>
        </w:rPr>
        <w:t xml:space="preserve">Fig. 2</w:t>
      </w:r>
      <w:r>
        <w:t xml:space="preserve"> Fragility under attack against realized false-positive behaviour. Horizontal axis: the share of the 1,500 human Turkish windows each detector flags at its own shipped threshold, a unit comparable across schemes (an earlier version used raw null standard deviations, which are on incommensurable scales, see Section 3.3). Vertical axis: AUROC under external laundering with prompt-clustered 95% CIs (lower = more fragile). SynthID flags no human window yet is the most fragile. The pattern is not monotone across all three. KGW both flags fewer windows than EXP and resists the attack better, so the figure shows one scheme at an extreme rather than a clean trade-off curve. Generated by </w:t>
      </w:r>
      <w:r>
        <w:rPr>
          <w:rFonts w:ascii="Consolas" w:cs="Consolas" w:eastAsia="Consolas" w:hAnsi="Consolas"/>
          <w:sz w:val="18"/>
          <w:szCs w:val="18"/>
        </w:rPr>
        <w:t xml:space="preserve">paper/make_figures.py</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 Table 8 gives the S1 null distributions and Table 9 the two robustness controls added after pre-registration.</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a theoretical 1 (Fig. 3), and the largest observed statistic is z = 5.08. Empirically 3 of 1,500 windows exceed z = 4, a rate of 2.0 × 10⁻³ or approximately 63 times nominal. We treat this count-based estimate as primary. A Gaussian fit implies ≈ 96 times nominal, but H1 itself establishes that the Gaussian model is misspecified, so that figure corroborates the order of magnitude and is never the headline.</w:t>
      </w:r>
    </w:p>
    <w:p>
      <w:pPr>
        <w:spacing w:after="120" w:line="276"/>
        <w:jc w:val="both"/>
      </w:pPr>
      <w:r>
        <w:t xml:space="preserve">Three exceedances in 1,500 windows is a small count.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study runs on one key, the MarkLLM default, and a keyed scheme could owe its null behaviour to that particular partition. Because S1 requires no generation, we rescored all 4,000 windows under eight keys.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among the eight keys we sampled, so the 63× headline is conditional on that key and sits at the low end of the sampled range. The median sampled key would give roughly 147×. We sampled eight keys and did not enumerate the key space, so this is a statement about the sample, not a bound.</w:t>
      </w:r>
    </w:p>
    <w:p>
      <w:pPr>
        <w:spacing w:after="120" w:line="276"/>
        <w:jc w:val="both"/>
      </w:pPr>
      <w:r>
        <w:rPr>
          <w:b/>
          <w:bCs/>
        </w:rPr>
        <w:t xml:space="preserve">H2 does not survive a control added after pre-registration and is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of windows and no longer a random sample.</w:t>
      </w:r>
    </w:p>
    <w:p>
      <w:pPr>
        <w:spacing w:after="120" w:line="276"/>
        <w:jc w:val="both"/>
      </w:pPr>
      <w:r>
        <w:t xml:space="preserve">The length control reveals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we detect no difference between the two languages. H2 as pre-registered attributed the inflation to the language. The data are instead consistent with an exposure pathway running through length, with the language entering only through how many tokens a given amount of text becomes. The pre-registered result stays on record, marked superseded.</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Document-level green counts become over-dispersed and the variance of the z-statistic exceeds its binomial value while the mean stays near zero. Fernandez et al. (2023) established this empirically before us and at a scale ours does not approach, scoring 100k multilingual Wikipedia texts under ten master keys. Their decomposition matters for reading ours: part of the gap is the Gaussian approximation itself, which exact tests close, and the residue is what repeated context windows contribute.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are consistent with length rather than morphology carrying the effect, without establishing causal mediation.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An indirect route survives: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The token-matched comparison is post-hoc and observational. It rules out a language effect at fixed token count, but it does not establish causal mediation by tokenization, which would require manipulating the tokenizer or the seeding window directly.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3324225"/>
                    </a:xfrm>
                    <a:prstGeom prst="rect">
                      <a:avLst/>
                    </a:prstGeom>
                  </pic:spPr>
                </pic:pic>
              </a:graphicData>
            </a:graphic>
          </wp:inline>
        </w:drawing>
      </w:r>
    </w:p>
    <w:p>
      <w:pPr>
        <w:spacing w:after="120" w:line="276"/>
        <w:jc w:val="both"/>
      </w:pPr>
      <w:r>
        <w:rPr>
          <w:b/>
          <w:bCs/>
        </w:rPr>
        <w:t xml:space="preserve">Fig. 3</w:t>
      </w:r>
      <w: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8"/>
          <w:szCs w:val="18"/>
        </w:rPr>
        <w:t xml:space="preserve">paper/make_figures.py</w:t>
      </w:r>
      <w: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not as evidence of equivalence.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The inflation itself replicates across the two registers, and the token-matched comparison attributes it to sequence length in both languages. The two registers are analyzed separately and never pooled.</w:t>
      </w:r>
    </w:p>
    <w:p>
      <w:pPr>
        <w:spacing w:after="120" w:line="276"/>
        <w:jc w:val="both"/>
      </w:pPr>
      <w:r>
        <w:rPr>
          <w:b/>
          <w:bCs/>
        </w:rPr>
        <w:t xml:space="preserve">Exploratory observations (not pre-registered).</w:t>
      </w:r>
      <w:r>
        <w:t xml:space="preserve"> First, the English KGW null mean is shifted to +0.278, whereas the Turkish mean is −0.055. No hypothesis anticipated this shift, and we record it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the interpretation is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unique pairs per condition presented in both orders (80 ordered presentations, 40 independent pair units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All judged pairs come from the KGW arm, as pre-registered, so this is a statement about attacks applied to KGW-watermarked text and not about the EXP or SynthID arms.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(40 unique pairs per cell, each presented in both orders). Percentages are over the 80 ordered presentations.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whereas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 when a model grades its own output, and we discard the verdict. The independent judge fails in the other documented direction, order sensitivity (Zheng et al., 2023), at 42.5% to 57.5% across three of four conditions, which is what the pre-registered 30% bound was set to catch. For para, launder and launder_api the independent judge exceeded the pre-registered 30% position-flip bound, so no directional fluency conclusion is supported for those conditions in either direction, including "does not degrade".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The measured inflation puts the realized false-positive rate at roughly 63 times nominal, with an exact interval of 13 to 184 times (Section 4.3), so a Turkish deployment shipping the default accuses human writers at far above the rate the scheme's theory promises (Kirchenbauer et al., 2023), and the eight-key sweep places that figure at the conservative end of a range whose median is about 147 times.</w:t>
      </w:r>
    </w:p>
    <w:p>
      <w:pPr>
        <w:spacing w:after="120" w:line="276"/>
        <w:jc w:val="both"/>
      </w:pPr>
      <w:r>
        <w:t xml:space="preserve">The failure is not confined to Turkish. English shows the same inflated null and the same tail count, and at the matched token budgets we evaluated no statistically detectable difference between the two languages remains, which is a failure to detect a difference on this sample rather than a demonstration of equivalence. Turkish adds exposure rather than a different mechanism. Its subword fertility is roughly twice that of English, so a document of a given reading length is scored over roughly twice as many tokens, and the inflation grows with tokens scored. A deployment serving Turkish sits further along the same curve. Nemecek et al. (2026) reach the same structural verdict from a wider grid, reporting that cross-lingual disparity is predominantly between typological families rather than idiosyncratic to particular languages, and that every scheme they audit ships a hardcoded threshold targeting a theoretical rate under an IID-token null that multilingual generation does not satisfy. Their prescription, empirical per-deployment calibration, is ours as well. Our measurement adds the second axis.</w:t>
      </w:r>
    </w:p>
    <w:p>
      <w:pPr>
        <w:spacing w:after="120" w:line="276"/>
        <w:jc w:val="both"/>
      </w:pPr>
      <w:r>
        <w:t xml:space="preserve">That second axis is the negative distribution. Thresholds set to 1% FPR on the model's own unwatermarked outputs do not transfer to human text, yielding 7.4% on human Turkish for EXP and 4.1% on human English for SynthID (exploratory, not pre-registered). Model-generated negatives are an inadequate proxy for the human text a deployed detector actually screens, so deployments should calibrate on, and report, the negative distribution of their own language and register. Two remedies for the underlying dependence already exist and we applied neither: Fernandez et al. (2023) score only tokens whose watermark context has not already been seen in the document, and both Fernandez et al. (2023) and Khachaturov et al. (2025) recommend a wider seeding window. We measure the configuration as shipped (</w:t>
      </w:r>
      <w:r>
        <w:rPr>
          <w:rFonts w:ascii="Consolas" w:cs="Consolas" w:eastAsia="Consolas" w:hAnsi="Consolas"/>
          <w:sz w:val="18"/>
          <w:szCs w:val="18"/>
        </w:rPr>
        <w:t xml:space="preserve">prefix_length</w:t>
      </w:r>
      <w:r>
        <w:t xml:space="preserve"> = 1 with z = 4, the MarkLLM defaults; Pan et al., 2024), which is what a deployment inherits unless it knows to change it, so our figure is the cost of that default rather than a bound on the scheme family.</w:t>
      </w:r>
    </w:p>
    <w:p>
      <w:pPr>
        <w:pStyle w:val="Heading2"/>
        <w:spacing w:after="120" w:before="220"/>
      </w:pPr>
      <w:r>
        <w:rPr>
          <w:b/>
          <w:bCs/>
          <w:sz w:val="22"/>
          <w:szCs w:val="22"/>
        </w:rPr>
        <w:t xml:space="preserve">5.2 The scheme with the fewest human-text flags is the most fragile</w:t>
      </w:r>
    </w:p>
    <w:p>
      <w:pPr>
        <w:spacing w:after="120" w:line="276"/>
        <w:jc w:val="both"/>
      </w:pPr>
      <w:r>
        <w:t xml:space="preserve">No scheme dominates both axes. That a watermarking design buys one property at the cost of another is documented. Pang et al. (2024) show that common design choices leave systems open to attack and derive fundamental trade-offs among robustness, utility and usability. The pair we measure, attack robustness against the behaviour of the null on unwatermarked text, is not among theirs, and it is the pair a deployment has to price, because one axis governs how often the watermark is missed and the other how often an innocent writer is accused. Since the three detectors report statistics on different scales, the comparable quantity is the realized false-positive rate at each scheme's own shipped threshold, on which SynthID (Dathathri et al., 2024) flags fewest and EXP most (Section 4.3). Yet SynthID is the most fragile under attack: all four prompt-level differences with a Holm-adjusted p below .05 are against it (Table 6), and under laundering its AUROC falls to 0.747 with TPR 0.250. The absolute half of that observation is not new. Han et al. (2025) report SynthID-Text degraded by meaning-preserving attacks including paraphrase and back-translation, and propose hybridizing it with a semantic scheme (Liu et al., 2024). We add that the same scheme sits at the opposite extreme on the calibration axis, measured on human text in a language neither line of work covers.</w:t>
      </w:r>
    </w:p>
    <w:p>
      <w:pPr>
        <w:spacing w:after="120" w:line="276"/>
        <w:jc w:val="both"/>
      </w:pPr>
      <w:r>
        <w:t xml:space="preserve">Across these three configurations, then, no scheme dominates on both axes at once, and the one with the lowest observed flag count on our human-text sample is also the easiest to wash out. This is a no-dominance pattern in this sample rather than a trade-off. Three schemes cannot establish a frontier, and the pattern is not even monotone across them, since KGW both flags fewer human windows than EXP and resists the attacks better.</w:t>
      </w:r>
    </w:p>
    <w:p>
      <w:pPr>
        <w:pStyle w:val="Heading2"/>
        <w:spacing w:after="120" w:before="220"/>
      </w:pPr>
      <w:r>
        <w:rPr>
          <w:b/>
          <w:bCs/>
          <w:sz w:val="22"/>
          <w:szCs w:val="22"/>
        </w:rPr>
        <w:t xml:space="preserve">5.3 Laundering is cheap and effective, and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with both judges classifying meaning as preserved in every judged pair drawn from the KGW arm. Its effect on fluency is indeterminate. The independent judge's position-flip rate on those pairs was 50.0%, above the pre-registered 30% bound, so no directional fluency conclusion is available in either direction, including the claim that fluency is unharmed (Section 4.4). This is a counterweight to Kirchenbauer et al. (2024), who report that after strong human paraphrase a green-list watermark remains detectable once roughly 800 tokens are observed at a nominal 10⁻⁵ false-positive rate. Our texts exceed that budget and detection still falls to a true-positive rate of 0.427 for KGW and 0.250 for SynthID. Two differences make this a boundary condition rather than a failed replication: their attack paraphrases whereas ours rewrites through a different and external model, and their token budget derives from a nominal 10⁻⁵ rate that Section 4.3 measures to be wrong on human text by one to two orders of magnitude, so the length at which detection becomes trustworthy is itself understated. Nor is it covert truncation, since the median attacked-to-source length ratio is 0.976.</w:t>
      </w:r>
    </w:p>
    <w:p>
      <w:pPr>
        <w:spacing w:after="120" w:line="276"/>
        <w:jc w:val="both"/>
      </w:pPr>
      <w:r>
        <w:t xml:space="preserve">The contrast with self-paraphrase is instructive. Asking the watermarking model itself to rewrite its output barely moves detection (mean AUROC drop 0.008 for launder, 0.001 for para), so the attack's power comes from routing text through a different model outside the defender's control, not from paraphrasing as such. It is also cheap and requires no knowledge of the scheme or key, costing USD 17.704 over the whole corpus while degrading all three schemes at once.</w:t>
      </w:r>
    </w:p>
    <w:p>
      <w:pPr>
        <w:spacing w:after="120" w:line="276"/>
        <w:jc w:val="both"/>
      </w:pPr>
      <w:r>
        <w:t xml:space="preserve">We evaluate no defenses. In theory the question is largely settled but not uncontested. H. Zhang et al. (2024) prove that no strong watermarking scheme survives an attacker holding a quality oracle and a mixing perturbation oracle, and instantiate that attack against the green-list scheme (Kirchenbauer et al., 2023) we test and against the distortion-free family (Kuditipudi et al., 2024), of which we test the Aaronson–Kirchner variant rather than their edit-robust algorithms. Harel-Canada et al. (2025) test the two assumptions that argument rests on and find both fail empirically: mixing is slow, with every perturbed text still retaining traces of its origin after hundreds of edits, and automated quality oracles are unreliable at 77% accuracy, so their random-walk attacks remove watermarks 26% of the time and 10% under human quality review. Our result is compatible with theirs but differently situated. A single pass through a strong external model is not a random walk under a noisy oracle, and we did not measure quality with human raters as they did. Which picture a deployment faces depends on whether the attacker can afford one call to a capable model. The open questions are empirical: how much detection survives which rewrite budget, for which scheme, at which document length and in which language, and whether the paraphrase-oriented schemes of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comes from a single generator, Qwen3-14B (Yang et al., 2025). Five candidates were run through the same pre-registered acceptance gate and only Qwen3-14B passed, the others failing on foreign-script contamination, under-delivery, or failure to terminate (gate records are in the repository). Cross-model replication was therefore attempted and not achieved, and producing acceptable long-form Turkish appears to be a barrier in its own right. Nothing here licenses generalization to other model families, scales or tokenizers. The calibration failure in particular is a property of a scheme–tokenizer–language triple and must be re-measured for any other pairing. The scheme set is bounded the same way: all three schemes perturb or couple the next-token distribution using a key seeded from surface context, and all three run as the toolkit ships them. Schemes designed against paraphrase, SIR (Liu et al., 2024) and SemStamp (Hou et al., 2024), are implemented in MarkLLM and were not evaluated, so the laundering result is a statement about surface-context-seeded schemes at default settings, not about watermarking in general. Generation ran on a single machine and GPU. The determinism test returned token-identical sequences under the pinned stack, but that is a single-environment result.</w:t>
      </w:r>
    </w:p>
    <w:p>
      <w:pPr>
        <w:spacing w:after="120" w:line="276"/>
        <w:jc w:val="both"/>
      </w:pPr>
      <w:r>
        <w:rPr>
          <w:b/>
          <w:bCs/>
        </w:rPr>
        <w:t xml:space="preserve">Human-text baseline (S1).</w:t>
      </w:r>
      <w:r>
        <w:t xml:space="preserve"> The corpus covers two registers, encyclopedic prose from Wikipedia (Wikimedia Foundation, 2023a) and older official/literary prose from Turkish Wikisource, and the inflation replicates across both (Section 4.3). Newspaper, essayistic or conversational Turkish may behave differently. Sample size bounds precision: at n = 1,500 windows per language the design supports order-of-magnitude statements but not finer resolution, which is why the empirical estimate is primary and the Gaussian extrapolation approximate only. The key sweep covers eight keys for S1 only, so every robustness number in Section 4.2 is conditional on the single study key, and the length control was applied to the human-text null, not to the generated corpus.</w:t>
      </w:r>
    </w:p>
    <w:p>
      <w:pPr>
        <w:spacing w:after="120" w:line="276"/>
        <w:jc w:val="both"/>
      </w:pPr>
      <w:r>
        <w:rPr>
          <w:b/>
          <w:bCs/>
        </w:rPr>
        <w:t xml:space="preserve">Detector keys are device-class-bound.</w:t>
      </w:r>
      <w:r>
        <w:t xml:space="preserve"> A SynthID detector instantiated on CPU draws a different pseudo-random key stream than one on CUDA, so watermarked text scored on the wrong device class collapses to chance (mean g-score 0.498 vs. 0.530), while re-scoring on the generation device reproduces the shipped scores bit-exactly. The S1 measurements are unaffected, since no watermark is present there. The claim covers SynthID across two device classes and is not a general statement about all three schemes. Any deployment must detect on the same device class as generation, or serialize the key explicitly.</w:t>
      </w:r>
    </w:p>
    <w:p>
      <w:pPr>
        <w:spacing w:after="120" w:line="276"/>
        <w:jc w:val="both"/>
      </w:pPr>
      <w:r>
        <w:rPr>
          <w:b/>
          <w:bCs/>
        </w:rPr>
        <w:t xml:space="preserve">The morphological attack did not fire.</w:t>
      </w:r>
      <w:r>
        <w:t xml:space="preserve"> The attack planned as the central typological probe produced almost no edits: morph averages 1.1 edits per text with 60.4% of texts unchanged, morph_v1 averages 7.5 (4.2% unchanged). The mechanism is a register mismatch, since the transforms target the progressive suffix -(I)yor and the formal expository register the model produces rarely uses it. The detection effect is null (mean AUROC drop 0.000 for both). Where morph did fire (n = 38 texts with non-zero edits) the per-edit slope survives our robustness battery (0.052 z per edit, 95% CI [0.022, 0.071], Spearman ρ = 0.579, p = 0.00014) but is practically tiny: at the observed mean of 2.9 edits it implies about 0.15 z against a matched clean-signal mean of 11.467. The morph_v1 slope is retracted after the same battery, its 95% CI including zero and its sign flipping when the three highest-leverage points are removed. Whether an informal-register corpus changes this verdict is an open question.</w:t>
      </w:r>
    </w:p>
    <w:p>
      <w:pPr>
        <w:spacing w:after="120" w:line="276"/>
        <w:jc w:val="both"/>
      </w:pPr>
      <w:r>
        <w:rPr>
          <w:b/>
          <w:bCs/>
        </w:rPr>
        <w:t xml:space="preserve">Closed-model laundering.</w:t>
      </w:r>
      <w:r>
        <w:t xml:space="preserve"> The launder_api attack routes text through a closed commercial model whose deployed version can change without notice. The raw laundered outputs are stored, so every detection score recomputes exactly, but the attack generation itself may not be re-creatable against a future version. Read it as an existence demonstration rather than a stable measurement of a fixed system.</w:t>
      </w:r>
    </w:p>
    <w:p>
      <w:pPr>
        <w:spacing w:after="120" w:line="276"/>
        <w:jc w:val="both"/>
      </w:pPr>
      <w:r>
        <w:rPr>
          <w:b/>
          <w:bCs/>
        </w:rPr>
        <w:t xml:space="preserve">EXP is structurally different.</w:t>
      </w:r>
      <w:r>
        <w:t xml:space="preserve"> The EXP implementation generates a fixed 950 tokens, does not consume the shared sampling arguments, and never stops at EOS. Its token-count standard deviation is 1.5 against 178.2 for KGW, 158.4 for SynthID and 101.0 unwatermarked, and its 96 texts are exempt from the termination criterion. Any cross-scheme comparison of text quality is therefore confounded with this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 arm, as the pre-registration fixed, so meaning preservation is measured for attacks on KGW text and carried to the EXP and SynthID rows of Table 11 by assumption. The assumption matters because meaning preservation is a property of the (source, rewrite) pair, the sources differ by arm, and cross-scheme quality comparisons are confounded as just noted. Judging the other two arms would cost roughly three US dollars, since the attacked texts already exist, and is the first extension a replication should make. Only four of the ten attacks were judged, and the pre-registered rule counts "partially preserved" as preservation, which is the permissive reading.</w:t>
      </w:r>
    </w:p>
    <w:p>
      <w:pPr>
        <w:spacing w:after="120" w:line="276"/>
        <w:jc w:val="both"/>
      </w:pPr>
      <w:r>
        <w:rPr>
          <w:b/>
          <w:bCs/>
        </w:rPr>
        <w:t xml:space="preserve">Acceptance thresholds are only partly justified.</w:t>
      </w:r>
      <w:r>
        <w:t xml:space="preserve"> Of the pre-fixed thresholds (word count ≥ 300, compliance ≥ 0.75, termination ≥ 0.90, contamination ≤ 0.05), compliance is inherited from the pre-gate criterion but the 0.90 and 0.05 values have no external justification. They were fixed before any corpus data existed, which protects against post-hoc tuning, but no sensitivity analysis was performed.</w:t>
      </w:r>
    </w:p>
    <w:p>
      <w:pPr>
        <w:spacing w:after="120" w:line="276"/>
        <w:jc w:val="both"/>
      </w:pPr>
      <w:r>
        <w:rPr>
          <w:b/>
          <w:bCs/>
        </w:rPr>
        <w:t xml:space="preserve">Implementation-level caveats.</w:t>
      </w:r>
      <w:r>
        <w:t xml:space="preserve"> KGW's effective green-list fraction is 0.499118 against the configured γ = 0.5, because the implementation sizes the list from the tokenizer length (151,669) rather than the declared vocabulary size (151,936). Among the candidate models examined here this deviation was specific to the Qwen tokenizer. Both rejected candidates have tokenizer lengths equal to their declared vocabulary sizes, giving a deviation of exactly 0. Two of 96 KGW texts and 2 of 96 SynthID texts hit the 1800-token cap and are truncated. In the first run the attention implementation fell back to the transformers default. This was unintended,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SynthID 9/96, against 2/96 unwatermarked and 0/96 for EXP). In total 19 of 384 texts are affected (4.9%), which is under the pre-registered 5% gate. This was noticed after the data were collected and is recorded as an exploratory replication hypothesis.</w:t>
      </w:r>
    </w:p>
    <w:p>
      <w:pPr>
        <w:pStyle w:val="Heading1"/>
        <w:spacing w:after="120" w:before="320"/>
      </w:pPr>
      <w:r>
        <w:rPr>
          <w:b/>
          <w:bCs/>
          <w:sz w:val="26"/>
          <w:szCs w:val="26"/>
        </w:rPr>
        <w:t xml:space="preserve">7 Reproducibility Statement</w:t>
      </w:r>
    </w:p>
    <w:p>
      <w:pPr>
        <w:spacing w:after="120" w:line="276"/>
        <w:jc w:val="both"/>
      </w:pPr>
      <w:r>
        <w:t xml:space="preserve">Every number in this paper is generated from the data by code. </w:t>
      </w:r>
      <w:r>
        <w:rPr>
          <w:rFonts w:ascii="Consolas" w:cs="Consolas" w:eastAsia="Consolas" w:hAnsi="Consolas"/>
          <w:sz w:val="18"/>
          <w:szCs w:val="18"/>
        </w:rPr>
        <w:t xml:space="preserve">pilot/metrics.py</w:t>
      </w:r>
      <w:r>
        <w:t xml:space="preserve"> produces the summary report and detection tables from the scored corpus, and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the manuscript's numbers are drawn. Transcription from that file into the manuscript tables is manual. An audit of this manuscript found a p-value in Table 6 that had been copied from a superseded report rather than from </w:t>
      </w:r>
      <w:r>
        <w:rPr>
          <w:rFonts w:ascii="Consolas" w:cs="Consolas" w:eastAsia="Consolas" w:hAnsi="Consolas"/>
          <w:sz w:val="18"/>
          <w:szCs w:val="18"/>
        </w:rPr>
        <w:t xml:space="preserve">numbers.json</w:t>
      </w:r>
      <w:r>
        <w:t xml:space="preserve">, and printing it at three decimals had collapsed two values that differ by a factor of four. A regime gate refuses to produce any report when the active configuration does not match the sealed run configuration, and </w:t>
      </w:r>
      <w:r>
        <w:rPr>
          <w:rFonts w:ascii="Consolas" w:cs="Consolas" w:eastAsia="Consolas" w:hAnsi="Consolas"/>
          <w:sz w:val="18"/>
          <w:szCs w:val="18"/>
        </w:rPr>
        <w:t xml:space="preserve">pilot/dev_tutarlilik_kapisi.py</w:t>
      </w:r>
      <w:r>
        <w:t xml:space="preserve"> fails the release if a withdrawn quantity reappears in a generated artifact, if any cell of Table 5 or Table 6 diverges from </w:t>
      </w:r>
      <w:r>
        <w:rPr>
          <w:rFonts w:ascii="Consolas" w:cs="Consolas" w:eastAsia="Consolas" w:hAnsi="Consolas"/>
          <w:sz w:val="18"/>
          <w:szCs w:val="18"/>
        </w:rPr>
        <w:t xml:space="preserve">numbers.json</w:t>
      </w:r>
      <w:r>
        <w:t xml:space="preserve">, or if the release identifier is not the same in every submission file. Each of those three checks exists because the corresponding error had already occurred. The verdict words in the two tables are English renderings of the generator's labels and remain outside the gate's coverage. Because the experiments span two environments, a local machine and a university HPC container, the environment layer imports the scientific code, and a content hash over the scientific sources is recorded with each run so both environments can be verified to execute identical code.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Its determinism test returned token-identical repeated generations.</w:t>
      </w:r>
    </w:p>
    <w:p>
      <w:pPr>
        <w:spacing w:after="120" w:line="276"/>
        <w:jc w:val="both"/>
      </w:pPr>
      <w:r>
        <w:t xml:space="preserve">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generation precision. Model-free is not device-independent, and our own measurement contradicts the stronger reading. SynthID's key stream is device-class-dependent, so text scored on the wrong device class collapses to chance, while scoring on the generation device class reproduces the shipped scores bit-exactly (Section 6). The S1 corpus is reproducible by construction, since each window records its page identifier and dump version, so the exact windows can be re-fetched deterministically. Pinned versions, sealed hashes and the pre-registration commits are listed under Data, Material and/or Code availability.</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No funds, grants or other support were received for this work. The commercial API charges reported in Sections 3.2 and 3.5 (USD 17.704 and USD 7.021) were met from the author's own resources. Generation and detection ran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this work, and in particular no employment, consultancy, equity, patent, honorarium, advisory or funding relationship with Anthropic, Google DeepMind, Groq, Alibaba/Qwen, or the developers of the MarkLLM toolkit, whose schemes, models and implementations are evaluated here, in several cases critically. This work is a research fork of MarkLLM (Apache-2.0). Its developers were not consulted and did not review the manuscript.</w:t>
      </w:r>
    </w:p>
    <w:p>
      <w:pPr>
        <w:spacing w:after="120" w:line="276"/>
        <w:jc w:val="both"/>
      </w:pPr>
      <w:r>
        <w:t xml:space="preserve">Two further facts are recorded here although they are not competing interests. Two components ran on metered commercial APIs at list prices, the external laundering corpus through Anthropic's API and the Claude Opus 5 judge. These are arm's-length purchases, reported as measurements because attack cost is part of the threat model, and no vendor funded this work, reviewed it or was consulted about it. One model occupies two roles: Claude Opus 5 both produces the </w:t>
      </w:r>
      <w:r>
        <w:rPr>
          <w:rFonts w:ascii="Consolas" w:cs="Consolas" w:eastAsia="Consolas" w:hAnsi="Consolas"/>
          <w:sz w:val="18"/>
          <w:szCs w:val="18"/>
        </w:rPr>
        <w:t xml:space="preserve">launder_api</w:t>
      </w:r>
      <w:r>
        <w:t xml:space="preserve"> texts and acts as one judge. That conflict is internal to the protocol and the pre-registration at commit </w:t>
      </w:r>
      <w:r>
        <w:rPr>
          <w:rFonts w:ascii="Consolas" w:cs="Consolas" w:eastAsia="Consolas" w:hAnsi="Consolas"/>
          <w:sz w:val="18"/>
          <w:szCs w:val="18"/>
        </w:rPr>
        <w:t xml:space="preserve">cbcb988</w:t>
      </w:r>
      <w:r>
        <w:t xml:space="preserve"> addressed it before any verdict was read. Section 4.4 reports the conflicted cell and discards it without interpretation.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required no institutional ethics review. The human-text baseline is published text, not participant data: the 4,000 windows of Study S1 are verbatim excerpts from public Wikimedia projects released under CC BY-SA 3.0 or later and GFDL. The study involved no recruitment, contact, observation, profiling or collection of personal data, and the only author-related information retained is the page identifier that makes the licence-required attribution link constructible. The LLM judges of Study S2 are measurement instruments, not participants. A language model has no welfare interests and cannot consent or be withdrawn, and its outputs are instrument readings, validated as such by the calibration and reliability provisions of Section 3.5.</w:t>
      </w:r>
    </w:p>
    <w:p>
      <w:pPr>
        <w:spacing w:after="120" w:line="276"/>
        <w:jc w:val="both"/>
      </w:pPr>
      <w:r>
        <w:t xml:space="preserve">On dual use, the paper reports a working attack that degrades all three schemes while preserving meaning, and the author judges publication responsible. The attack requires no key, knowledge of the scheme or privileged access, so it is already available to any adversary and publication confers no new capability. Publication creates a measurement defenders can act on, since the recalibration of Section 5.1 is useless to an operator who does not know the size of the effect. The attacked texts are released so countermeasures can be tested on the same material.</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w:t>
      </w:r>
    </w:p>
    <w:p>
      <w:pPr>
        <w:pStyle w:val="Heading2"/>
        <w:spacing w:after="120" w:before="220"/>
      </w:pPr>
      <w:r>
        <w:rPr>
          <w:b/>
          <w:bCs/>
          <w:sz w:val="22"/>
          <w:szCs w:val="22"/>
        </w:rPr>
        <w:t xml:space="preserve">Consent to publish</w:t>
      </w:r>
    </w:p>
    <w:p>
      <w:pPr>
        <w:spacing w:after="120" w:line="276"/>
        <w:jc w:val="both"/>
      </w:pPr>
      <w:r>
        <w:t xml:space="preserve">Not applicable: the study contains no data from identifiable individuals.</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v1.7.0-paper</w:t>
      </w:r>
      <w:r>
        <w:t xml:space="preserve">, which freezes the exact code, data and manuscript state from which every reported number was produced. That release is archived at Zenodo and is reached through the concept DOI 10.5281/zenodo.22168552 (&lt;https://doi.org/10.5281/zenodo.22168552&gt;), which resolves to the most recent version and lists the version DOI of each. The reference list cites that concept DOI rather than a version DOI because two earlier drafts of this paper cited a version that subsequent corrections superseded, and the concept DOI cannot fall out of date in that way. Readers reproducing this article should take the version tagged </w:t>
      </w:r>
      <w:r>
        <w:rPr>
          <w:rFonts w:ascii="Consolas" w:cs="Consolas" w:eastAsia="Consolas" w:hAnsi="Consolas"/>
          <w:sz w:val="18"/>
          <w:szCs w:val="18"/>
        </w:rPr>
        <w:t xml:space="preserve">v1.7.0-paper</w:t>
      </w:r>
      <w:r>
        <w:t xml:space="preserve">. Six earlier releases (10.5281/zenodo.22168553, 22212071, 22230948, 22231200, 22249519 and 22255372) predate corrections described in Sections 3.3 and 4.2, the condensation, the recalibrated interval of Table 5, the relabelling of Table 5 as an exploratory post-selection contrast and the corresponding scope statement on Table 6, the correction of a Table 6 p-value that had been copied from a superseded report, or the final style and journal-format pass. They are superseded but remain listed here, because each has a DOI and a DOI should not silently change what it points to.</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Its known limitations are stated at the top level in </w:t>
      </w:r>
      <w:r>
        <w:rPr>
          <w:rFonts w:ascii="Consolas" w:cs="Consolas" w:eastAsia="Consolas" w:hAnsi="Consolas"/>
          <w:sz w:val="18"/>
          <w:szCs w:val="18"/>
        </w:rPr>
        <w:t xml:space="preserve">BENCHMARK.md</w:t>
      </w:r>
      <w:r>
        <w:t xml:space="preserve">, and the withdrawn inferential treatments of Section 3.3 are documented in </w:t>
      </w:r>
      <w:r>
        <w:rPr>
          <w:rFonts w:ascii="Consolas" w:cs="Consolas" w:eastAsia="Consolas" w:hAnsi="Consolas"/>
          <w:sz w:val="18"/>
          <w:szCs w:val="18"/>
        </w:rPr>
        <w:t xml:space="preserve">DENETIM_NOTU_geri_cekilen_cikarimlar.md</w:t>
      </w:r>
      <w:r>
        <w:t xml:space="preserve">. Reproducibility provisions are described in Section 7.</w:t>
      </w:r>
    </w:p>
    <w:p>
      <w:pPr>
        <w:spacing w:after="120" w:line="276"/>
        <w:jc w:val="both"/>
      </w:pPr>
      <w:r>
        <w:t xml:space="preserve">The three pre-registrations are commits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The guarantee this gives is bounded. The commit hashes bind the registered content cryptographically and fix its position in the history, so a reader can verify that no later commit silently altered a registration. The wall-clock dates are weaker: the repository was first published on 2026-08-29 and archived at Zenodo on 2026-08-30, which are third-party timestamps, but both postdate data collection, so neither separates registration from data. The asserted dates of 2026-08-23 to 2026-08-25 rest on the author's local history, which an author could in principle rewrite before first publication. Future registrations in this line of work will be anchored to a third-party timestamp at the moment of registration.</w:t>
      </w:r>
    </w:p>
    <w:p>
      <w:pPr>
        <w:spacing w:after="120" w:line="276"/>
        <w:jc w:val="both"/>
      </w:pPr>
      <w:r>
        <w:rPr>
          <w:b/>
          <w:bCs/>
        </w:rPr>
        <w:t xml:space="preserve">The licensing of this release is not uniform, and users must consult `DATA_LICENSE.md` before reuse.</w:t>
      </w:r>
      <w:r>
        <w:t xml:space="preserve"> Code is Apache-2.0, as is upstream MarkLLM. The Wikimedia-derived human windows are CC BY-SA 3.0 or later and GFDL, carrying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conservative reading of an unresolved question about whether a non-commercial model licence reaches model outputs. The generated, attacked and laundered texts and the judge verdicts are CC BY 4.0. Detector scores and derived metrics are CC0 1.0 as facts. </w:t>
      </w:r>
      <w:r>
        <w:rPr>
          <w:rFonts w:ascii="Consolas" w:cs="Consolas" w:eastAsia="Consolas" w:hAnsi="Consolas"/>
          <w:sz w:val="18"/>
          <w:szCs w:val="18"/>
        </w:rPr>
        <w:t xml:space="preserve">DATA_LICENSE.md</w:t>
      </w:r>
      <w:r>
        <w:t xml:space="preserve"> is the authoritative statement. It gives the per-path table, marks which readings are contested, and explains how to assemble a commercially usable subset. The archive record's licence field reads "Other (Open)" because no single identifier describes the deposit. That field is not a blanket grant.</w:t>
      </w:r>
    </w:p>
    <w:p>
      <w:pPr>
        <w:spacing w:after="120" w:line="276"/>
        <w:jc w:val="both"/>
      </w:pPr>
      <w:r>
        <w:t xml:space="preserve">Because the repository is a fork, the release also carries roughly 330 MB of upstream files this study never reads: C4 excerpts shipped as evaluation fixtures under ODC-BY with the Common Crawl terms,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was used in three distinct ways, separated here because they carry different implications.</w:t>
      </w:r>
    </w:p>
    <w:p>
      <w:pPr>
        <w:spacing w:after="120" w:line="276"/>
        <w:jc w:val="both"/>
      </w:pPr>
      <w:r>
        <w:rPr>
          <w:b/>
          <w:bCs/>
        </w:rPr>
        <w:t xml:space="preserve">(a) As the object of study.</w:t>
      </w:r>
      <w:r>
        <w:t xml:space="preserve"> Claude Opus 5, via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Settings, measured cost (USD 17.704) and raw laundered outputs are in the release, so every detection score on those texts recomputes exactly. As Section 6 states, the generation itself may not be re-creatable against a future version of a closed model, so the result is an existence demonstration rather than a measurement of a fixed system.</w:t>
      </w:r>
    </w:p>
    <w:p>
      <w:pPr>
        <w:spacing w:after="120" w:line="276"/>
        <w:jc w:val="both"/>
      </w:pPr>
      <w:r>
        <w:rPr>
          <w:b/>
          <w:bCs/>
        </w:rPr>
        <w:t xml:space="preserve">(b) As measurement instruments.</w:t>
      </w:r>
      <w:r>
        <w:t xml:space="preserve"> Claude Opus 5 and gpt-oss-120b (via Groq) produced the 788 pairwise verdicts of Study S2 (Sections 3.5, 4.4) under the protocol pre-registered at commit </w:t>
      </w:r>
      <w:r>
        <w:rPr>
          <w:rFonts w:ascii="Consolas" w:cs="Consolas" w:eastAsia="Consolas" w:hAnsi="Consolas"/>
          <w:sz w:val="18"/>
          <w:szCs w:val="18"/>
        </w:rPr>
        <w:t xml:space="preserve">cbcb988</w:t>
      </w:r>
      <w:r>
        <w:t xml:space="preserve">: pairwise-only judging, both orders, blind calibration items passed before any real verdict was read, a 30% position-flip bound, two model families, and agreement of both judges required for any </w:t>
      </w:r>
      <w:r>
        <w:rPr>
          <w:rFonts w:ascii="Consolas" w:cs="Consolas" w:eastAsia="Consolas" w:hAnsi="Consolas"/>
          <w:sz w:val="18"/>
          <w:szCs w:val="18"/>
        </w:rPr>
        <w:t xml:space="preserve">launder_api</w:t>
      </w:r>
      <w:r>
        <w:t xml:space="preserve"> verdict because Opus 5 produced those texts. The verdict file is released. These outputs are data reported in the paper, not text written into it. Uses (a) and (b) are documented in Methods with their costs and failure modes, and neither drafted nor edited any part of this manuscript.</w:t>
      </w:r>
    </w:p>
    <w:p>
      <w:pPr>
        <w:spacing w:after="120" w:line="276"/>
        <w:jc w:val="both"/>
      </w:pPr>
      <w:r>
        <w:rPr>
          <w:b/>
          <w:bCs/>
        </w:rPr>
        <w:t xml:space="preserve">(c) As a coding and drafting assistant.</w:t>
      </w:r>
      <w:r>
        <w:t xml:space="preserve"> Claude Opus 5 assisted with implementation of the experimental code and with drafting and editing the manuscript. This is visible in the public repository: of the 31 commits the author contributed to this fork, 20 carry the trailer </w:t>
      </w:r>
      <w:r>
        <w:rPr>
          <w:rFonts w:ascii="Consolas" w:cs="Consolas" w:eastAsia="Consolas" w:hAnsi="Consolas"/>
          <w:sz w:val="18"/>
          <w:szCs w:val="18"/>
        </w:rPr>
        <w:t xml:space="preserve">Co-Authored-By: Claude Opus 5</w:t>
      </w:r>
      <w:r>
        <w:t xml:space="preserve">. That trailer records that an AI assistant participated in producing a commit. </w:t>
      </w:r>
      <w:r>
        <w:rPr>
          <w:b/>
          <w:bCs/>
        </w:rPr>
        <w:t xml:space="preserve">It is not a claim of authorship.</w:t>
      </w:r>
      <w:r>
        <w:t xml:space="preserve"> No AI system is an author of this paper, and none could be, since an AI system cannot take responsibility for content, approve a manuscript, respond to correspondence, or be accountable for the integrity of the work. The author reviewed all generated code and text, verified the pipeline against the data, and is solely accountable for the design, analysis, interpretation, claims and any errors.</w:t>
      </w:r>
    </w:p>
    <w:p>
      <w:pPr>
        <w:spacing w:after="120" w:line="276"/>
        <w:jc w:val="both"/>
      </w:pPr>
      <w:r>
        <w:t xml:space="preserve">Two structural safeguards limit what this assistance could have introduced. No scientific claim rests on unverified generated text. The number pipeline and its release gate are described in Section 7, every number originates in that pipeline, and the release gate compares the two inferential tables against it cell by cell. Section 7 also states the residual gap, that transcription into the tables is manual and that this gap has produced an error that was caught and corrected. And generative AI was not used to create, augment or alter research data: the human corpus is verbatim Wikimedia excerpts, the generated corpus comes from Qwen3-14B under logged settings, and detector scores are computed by the pinned MarkLLM implementations.</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[PowerPoint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 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1.7.0-paper) [Computer software]. Zenodo. https://doi.org/10.5281/zenodo.22168552</w:t>
      </w:r>
    </w:p>
    <w:p>
      <w:pPr>
        <w:spacing w:after="100" w:line="276"/>
        <w:ind w:left="480" w:hanging="480"/>
        <w:jc w:val="left"/>
      </w:pPr>
      <w:r>
        <w:t xml:space="preserve">Chen, R., Wu, Y., Guo, J., &amp; Huang, H. (2025). De-mark: Watermark removal in large language models. In </w:t>
      </w:r>
      <w:r>
        <w:rPr>
          <w:i/>
          <w:iCs/>
        </w:rPr>
        <w:t xml:space="preserve">Proceedings of the 42nd International Conference on Machine Learning</w:t>
      </w:r>
      <w:r>
        <w:t xml:space="preserve"> (Proceedings of Machine Learning Research, Vol. 267, pp. 9316–9333). PMLR. https://proceedings.mlr.press/v267/chen25bq.html</w:t>
      </w:r>
    </w:p>
    <w:p>
      <w:pPr>
        <w:spacing w:after="100" w:line="276"/>
        <w:ind w:left="480" w:hanging="480"/>
        <w:jc w:val="left"/>
      </w:pPr>
      <w:r>
        <w:t xml:space="preserve">Çöltekin, Ç., Doğruöz, A. S., &amp; Çetinoğlu, Ö. (2023). Resources for Turkish natural language processing: A critical survey. </w:t>
      </w:r>
      <w:r>
        <w:rPr>
          <w:i/>
          <w:iCs/>
        </w:rPr>
        <w:t xml:space="preserve">Language Resources and Evaluation, 57</w:t>
      </w:r>
      <w:r>
        <w:t xml:space="preserve">(1), 449–488. https://doi.org/10.1007/s10579-022-09605-4</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 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Ganesan, G. (2025). </w:t>
      </w:r>
      <w:r>
        <w:rPr>
          <w:i/>
          <w:iCs/>
        </w:rPr>
        <w:t xml:space="preserve">Cross-lingual summarization as a black-box watermark removal attack</w:t>
      </w:r>
      <w:r>
        <w:t xml:space="preserve"> (arXiv:2510.24789). arXiv. https://doi.org/10.48550/arXiv.2510.24789</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Harel-Canada, F. Y., Erol, B., Choi, C., Liu, J., Song, G. J., Peng, N., &amp; Sahai, A. (2025). Sandcastles in the storm: Revisiting the (im)possibility of strong watermarking. In </w:t>
      </w:r>
      <w:r>
        <w:rPr>
          <w:i/>
          <w:iCs/>
        </w:rPr>
        <w:t xml:space="preserve">Proceedings of the 63rd Annual Meeting of the Association for Computational Linguistics (Volume 1: Long Papers)</w:t>
      </w:r>
      <w:r>
        <w:t xml:space="preserve"> (pp. 29698–29735). Association for Computational Linguistics. https://doi.org/10.18653/v1/2025.acl-long.1436</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Huang, B., Pu, X., &amp; Wan, X. (2025). B⁴: A black-box scrubbing attack on LLM watermarks. In </w:t>
      </w:r>
      <w:r>
        <w:rPr>
          <w:i/>
          <w:iCs/>
        </w:rPr>
        <w:t xml:space="preserve">Proceedings of the 2025 Conference of the Nations of the Americas Chapter of the Association for Computational Linguistics: Human Language Technologies (Volume 1: Long Papers)</w:t>
      </w:r>
      <w:r>
        <w:t xml:space="preserve"> (pp. 9113–9126). Association for Computational Linguistics. https://doi.org/10.18653/v1/2025.naacl-long.460</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Liang, J., Wang, Z., Hong, S., Ji, S., &amp; Wang, T. (2025). Watermark under fire: A robustness evaluation of LLM watermarking. In </w:t>
      </w:r>
      <w:r>
        <w:rPr>
          <w:i/>
          <w:iCs/>
        </w:rPr>
        <w:t xml:space="preserve">Findings of the Association for Computational Linguistics: EMNLP 2025</w:t>
      </w:r>
      <w:r>
        <w:t xml:space="preserve"> (pp. 21050–21074). Association for Computational Linguistics. https://doi.org/10.18653/v1/2025.findings-emnlp.1148</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Meral, H. M., Sankur, B., Özsoy, A. S., Güngör, T., &amp; Sevinç, E. (2009). Natural language watermarking via morphosyntactic alterations. </w:t>
      </w:r>
      <w:r>
        <w:rPr>
          <w:i/>
          <w:iCs/>
        </w:rPr>
        <w:t xml:space="preserve">Computer Speech &amp; Language, 23</w:t>
      </w:r>
      <w:r>
        <w:t xml:space="preserve">(1), 107–125. https://doi.org/10.1016/j.csl.2008.04.001</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 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 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Piet, J., Sitawarin, C., Fang, V., Mu, N., &amp; Wagner, D. (2025). MARKMyWORDS: Analyzing and evaluating language model watermarks. In </w:t>
      </w:r>
      <w:r>
        <w:rPr>
          <w:i/>
          <w:iCs/>
        </w:rPr>
        <w:t xml:space="preserve">2025 IEEE Conference on Secure and Trustworthy Machine Learning (SaTML)</w:t>
      </w:r>
      <w:r>
        <w:t xml:space="preserve"> (pp. 68–91). IEEE. https://doi.org/10.1109/SaTML64287.2025.00012</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Tu, S., Sun, Y., Bai, Y., Yu, J., Hou, L., &amp; Li, J. (2024). WaterBench: Towards holistic evaluation of watermarks for large language models. In </w:t>
      </w:r>
      <w:r>
        <w:rPr>
          <w:i/>
          <w:iCs/>
        </w:rPr>
        <w:t xml:space="preserve">Proceedings of the 62nd Annual Meeting of the Association for Computational Linguistics (Volume 1: Long Papers)</w:t>
      </w:r>
      <w:r>
        <w:t xml:space="preserve"> (pp. 1517–1542). Association for Computational Linguistics. https://doi.org/10.18653/v1/2024.acl-long.83</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Zhang, Z., Zhang, X., Zhang, Y., Zhang, H., Pan, S., Liu, B., Gill, A. Q., &amp; Zhang, L. Y. (2026). Character-level perturbations disrupt LLM watermarks. In </w:t>
      </w:r>
      <w:r>
        <w:rPr>
          <w:i/>
          <w:iCs/>
        </w:rPr>
        <w:t xml:space="preserve">Proceedings 2026 Network and Distributed System Security Symposium</w:t>
      </w:r>
      <w:r>
        <w:t xml:space="preserve">. Internet Society. https://doi.org/10.14722/ndss.2026.230138</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6207398b17b6b54f713656e48bbac9838bb81e4.png"/><Relationship Id="rId9" Type="http://schemas.openxmlformats.org/officeDocument/2006/relationships/image" Target="media/54920549ba7fb94d1103cd70b681e62e462a4229.png"/><Relationship Id="rId10" Type="http://schemas.openxmlformats.org/officeDocument/2006/relationships/image" Target="media/72e8e0fb3caed1b321aa352e34fc34443dcc170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2026-09-03T06:58:08.182Z</dcterms:created>
  <dcterms:modified xsi:type="dcterms:W3CDTF">2026-09-03T06:58:08.183Z</dcterms:modified>
</cp:coreProperties>
</file>

<file path=docProps/custom.xml><?xml version="1.0" encoding="utf-8"?>
<Properties xmlns="http://schemas.openxmlformats.org/officeDocument/2006/custom-properties" xmlns:vt="http://schemas.openxmlformats.org/officeDocument/2006/docPropsVTypes"/>
</file>