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 September 2026</w:t>
      </w:r>
    </w:p>
    <w:p>
      <w:pPr>
        <w:pStyle w:val="BodyText"/>
      </w:pPr>
      <w:r>
        <w:t xml:space="preserve">To the Editors-in-Chief</w:t>
      </w:r>
      <w:r>
        <w:t xml:space="preserve"> </w:t>
      </w:r>
      <w:r>
        <w:rPr>
          <w:i/>
          <w:iCs/>
        </w:rPr>
        <w:t xml:space="preserve">Language Resources and Evaluation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I submit for your consideration the manuscript</w:t>
      </w:r>
      <w:r>
        <w:t xml:space="preserve"> </w:t>
      </w:r>
      <w:r>
        <w:rPr>
          <w:b/>
          <w:bCs/>
        </w:rPr>
        <w:t xml:space="preserve">“Watermarking Turkish LLM Output:</w:t>
      </w:r>
      <w:r>
        <w:rPr>
          <w:b/>
          <w:bCs/>
        </w:rPr>
        <w:t xml:space="preserve"> </w:t>
      </w:r>
      <w:r>
        <w:rPr>
          <w:b/>
          <w:bCs/>
        </w:rPr>
        <w:t xml:space="preserve">Detector Calibration, Scheme Fragility, and a Released Evaluation Benchmark”</w:t>
      </w:r>
      <w:r>
        <w:t xml:space="preserve"> </w:t>
      </w:r>
      <w:r>
        <w:t xml:space="preserve">as a</w:t>
      </w:r>
      <w:r>
        <w:t xml:space="preserve"> </w:t>
      </w:r>
      <w:r>
        <w:t xml:space="preserve">single-authored Original Paper, and I would like it to be considered for the</w:t>
      </w:r>
      <w:r>
        <w:t xml:space="preserve"> </w:t>
      </w:r>
      <w:r>
        <w:rPr>
          <w:b/>
          <w:bCs/>
        </w:rPr>
        <w:t xml:space="preserve">special</w:t>
      </w:r>
      <w:r>
        <w:rPr>
          <w:b/>
          <w:bCs/>
        </w:rPr>
        <w:t xml:space="preserve"> </w:t>
      </w:r>
      <w:r>
        <w:rPr>
          <w:b/>
          <w:bCs/>
        </w:rPr>
        <w:t xml:space="preserve">focus section on Less-resourced Languages</w:t>
      </w:r>
      <w:r>
        <w:t xml:space="preserve">. Its principal contributions for this journal</w:t>
      </w:r>
      <w:r>
        <w:t xml:space="preserve"> </w:t>
      </w:r>
      <w:r>
        <w:t xml:space="preserve">are an evaluation protocol for a language technology measured outside English and a</w:t>
      </w:r>
      <w:r>
        <w:t xml:space="preserve"> </w:t>
      </w:r>
      <w:r>
        <w:t xml:space="preserve">released, documented language resource for Turkish, whose resource landscape Çöltekin</w:t>
      </w:r>
      <w:r>
        <w:t xml:space="preserve"> </w:t>
      </w:r>
      <w:r>
        <w:t xml:space="preserve">et al. (2023) survey critically and find uneven in accessibility, licensing and register</w:t>
      </w:r>
      <w:r>
        <w:t xml:space="preserve"> </w:t>
      </w:r>
      <w:r>
        <w:t xml:space="preserve">coverage.</w:t>
      </w:r>
    </w:p>
    <w:p>
      <w:pPr>
        <w:pStyle w:val="BodyText"/>
      </w:pPr>
      <w:r>
        <w:t xml:space="preserve">The special focus section invites papers that apply an established method to a</w:t>
      </w:r>
      <w:r>
        <w:t xml:space="preserve"> </w:t>
      </w:r>
      <w:r>
        <w:t xml:space="preserve">less-resourced language for the first time, and this is not such a paper. Watermarking has already been measured on Turkish: Nemecek et al. (2026)</w:t>
      </w:r>
      <w:r>
        <w:t xml:space="preserve"> </w:t>
      </w:r>
      <w:r>
        <w:t xml:space="preserve">include it among eleven languages in a cross-lingual fairness audit, and Mohamed and Gubri</w:t>
      </w:r>
      <w:r>
        <w:t xml:space="preserve"> </w:t>
      </w:r>
      <w:r>
        <w:t xml:space="preserve">(2025) scale watermark robustness to over a hundred languages. That literature does not yet supply a null distribution measured on human text rather</w:t>
      </w:r>
      <w:r>
        <w:t xml:space="preserve"> </w:t>
      </w:r>
      <w:r>
        <w:t xml:space="preserve">than on model output, together with register, token-length and watermark-key controls on</w:t>
      </w:r>
      <w:r>
        <w:t xml:space="preserve"> </w:t>
      </w:r>
      <w:r>
        <w:t xml:space="preserve">that distribution, in an agglutinative language other than Korean. This paper contributes</w:t>
      </w:r>
      <w:r>
        <w:t xml:space="preserve"> </w:t>
      </w:r>
      <w:r>
        <w:t xml:space="preserve">those, and Section 2 states the boundary.</w:t>
      </w:r>
    </w:p>
    <w:p>
      <w:pPr>
        <w:pStyle w:val="BodyText"/>
      </w:pPr>
      <w:r>
        <w:rPr>
          <w:b/>
          <w:bCs/>
        </w:rPr>
        <w:t xml:space="preserve">What the paper does.</w:t>
      </w:r>
      <w:r>
        <w:t xml:space="preserve"> </w:t>
      </w:r>
      <w:r>
        <w:t xml:space="preserve">Statistical watermarks for LLM output are designed and</w:t>
      </w:r>
      <w:r>
        <w:t xml:space="preserve"> </w:t>
      </w:r>
      <w:r>
        <w:t xml:space="preserve">validated almost entirely on English, and their detectors ship with thresholds whose</w:t>
      </w:r>
      <w:r>
        <w:t xml:space="preserve"> </w:t>
      </w:r>
      <w:r>
        <w:t xml:space="preserve">false-positive guarantees follow from a null distribution assumed rather than</w:t>
      </w:r>
      <w:r>
        <w:t xml:space="preserve"> </w:t>
      </w:r>
      <w:r>
        <w:t xml:space="preserve">measured. I measure three schemes, the green-list KGW, the Gumbel-sampling EXP, and</w:t>
      </w:r>
      <w:r>
        <w:t xml:space="preserve"> </w:t>
      </w:r>
      <w:r>
        <w:t xml:space="preserve">SynthID, on Turkish, using a pilot-scale but tightly instrumented protocol: 384</w:t>
      </w:r>
      <w:r>
        <w:t xml:space="preserve"> </w:t>
      </w:r>
      <w:r>
        <w:t xml:space="preserve">generated texts under ten removal attacks, a pre-registered false-positive study on</w:t>
      </w:r>
      <w:r>
        <w:t xml:space="preserve"> </w:t>
      </w:r>
      <w:r>
        <w:t xml:space="preserve">2,500 Turkish and 1,500 English human windows, and a two-judge meaning-preservation</w:t>
      </w:r>
      <w:r>
        <w:t xml:space="preserve"> </w:t>
      </w:r>
      <w:r>
        <w:t xml:space="preserve">study. The central result is a calibration failure. On human Turkish the KGW null</w:t>
      </w:r>
      <w:r>
        <w:t xml:space="preserve"> </w:t>
      </w:r>
      <w:r>
        <w:t xml:space="preserve">standard deviation is 1.479 against a theoretical 1, and the shipped z = 4 threshold</w:t>
      </w:r>
      <w:r>
        <w:t xml:space="preserve"> </w:t>
      </w:r>
      <w:r>
        <w:t xml:space="preserve">produces 3 exceedances in 1,500 windows, roughly 63 times nominal, with an exact</w:t>
      </w:r>
      <w:r>
        <w:t xml:space="preserve"> </w:t>
      </w:r>
      <w:r>
        <w:t xml:space="preserve">binomial interval of 13× to 184×. I also report, in full, that the pre-registered</w:t>
      </w:r>
      <w:r>
        <w:t xml:space="preserve"> </w:t>
      </w:r>
      <w:r>
        <w:t xml:space="preserve">hypothesis attributing this to Turkish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survive a length control added</w:t>
      </w:r>
      <w:r>
        <w:t xml:space="preserve"> </w:t>
      </w:r>
      <w:r>
        <w:t xml:space="preserve">after pre-registration: at the matched token budgets we evaluated no Turkish–English</w:t>
      </w:r>
      <w:r>
        <w:t xml:space="preserve"> </w:t>
      </w:r>
      <w:r>
        <w:t xml:space="preserve">difference is detectable, and Turkish increases exposure through subword fertility</w:t>
      </w:r>
      <w:r>
        <w:t xml:space="preserve"> </w:t>
      </w:r>
      <w:r>
        <w:t xml:space="preserve">and adds no distinct mechanism. Two further findings are a no-dominance pattern</w:t>
      </w:r>
      <w:r>
        <w:t xml:space="preserve"> </w:t>
      </w:r>
      <w:r>
        <w:t xml:space="preserve">across the three tested configurations (SynthID flags the fewest human windows at its</w:t>
      </w:r>
      <w:r>
        <w:t xml:space="preserve"> </w:t>
      </w:r>
      <w:r>
        <w:t xml:space="preserve">own shipped threshold yet is the most fragile under attack in all four paired</w:t>
      </w:r>
      <w:r>
        <w:t xml:space="preserve"> </w:t>
      </w:r>
      <w:r>
        <w:t xml:space="preserve">comparisons it enters, each with a Holm-adjusted p below .05 within that six-test</w:t>
      </w:r>
      <w:r>
        <w:t xml:space="preserve"> </w:t>
      </w:r>
      <w:r>
        <w:t xml:space="preserve">family, though the pattern is not monotone across all three) and a laundering attack that degrades all three schemes</w:t>
      </w:r>
      <w:r>
        <w:t xml:space="preserve"> </w:t>
      </w:r>
      <w:r>
        <w:t xml:space="preserve">while both judges rated meaning preserved on the sampled KGW-arm pairs, at a</w:t>
      </w:r>
      <w:r>
        <w:t xml:space="preserve"> </w:t>
      </w:r>
      <w:r>
        <w:t xml:space="preserve">measured cost of USD 17.704. A planned morphological attack did not fire, and that</w:t>
      </w:r>
      <w:r>
        <w:t xml:space="preserve"> </w:t>
      </w:r>
      <w:r>
        <w:t xml:space="preserve">negative result is reported with its coverage measurements.</w:t>
      </w:r>
    </w:p>
    <w:p>
      <w:pPr>
        <w:pStyle w:val="BodyText"/>
      </w:pPr>
      <w:r>
        <w:rPr>
          <w:b/>
          <w:bCs/>
        </w:rPr>
        <w:t xml:space="preserve">Why LRE.</w:t>
      </w:r>
      <w:r>
        <w:t xml:space="preserve"> </w:t>
      </w:r>
      <w:r>
        <w:t xml:space="preserve">The paper is a protocol-and-resource contribution, not a new watermark.</w:t>
      </w:r>
      <w:r>
        <w:t xml:space="preserve"> </w:t>
      </w:r>
      <w:r>
        <w:t xml:space="preserve">Alongside it I release</w:t>
      </w:r>
      <w:r>
        <w:t xml:space="preserve"> </w:t>
      </w:r>
      <w:r>
        <w:rPr>
          <w:b/>
          <w:bCs/>
        </w:rPr>
        <w:t xml:space="preserve">TR-WM-EVAL</w:t>
      </w:r>
      <w:r>
        <w:t xml:space="preserve">, a Turkish watermark-evaluation benchmark:</w:t>
      </w:r>
      <w:r>
        <w:t xml:space="preserve"> </w:t>
      </w:r>
      <w:r>
        <w:t xml:space="preserve">4,000 human text windows spanning two registers and three corpus-language strata</w:t>
      </w:r>
      <w:r>
        <w:t xml:space="preserve"> </w:t>
      </w:r>
      <w:r>
        <w:t xml:space="preserve">(Turkish and English Wikipedia, and Turkish Wikisource), 384 generated texts, 3,840 attacked</w:t>
      </w:r>
      <w:r>
        <w:t xml:space="preserve"> </w:t>
      </w:r>
      <w:r>
        <w:t xml:space="preserve">texts, 58,161 detector scores including a length-controlled rescoring and an</w:t>
      </w:r>
      <w:r>
        <w:t xml:space="preserve"> </w:t>
      </w:r>
      <w:r>
        <w:t xml:space="preserve">eight-key sweep, and 788 pairwise judge verdicts. The resource is documented for</w:t>
      </w:r>
      <w:r>
        <w:t xml:space="preserve"> </w:t>
      </w:r>
      <w:r>
        <w:t xml:space="preserve">reuse independently of the paper:</w:t>
      </w:r>
      <w:r>
        <w:t xml:space="preserve"> </w:t>
      </w:r>
      <w:r>
        <w:rPr>
          <w:rStyle w:val="VerbatimChar"/>
        </w:rPr>
        <w:t xml:space="preserve">BENCHMARK.md</w:t>
      </w:r>
      <w:r>
        <w:t xml:space="preserve"> </w:t>
      </w:r>
      <w:r>
        <w:t xml:space="preserve">states its known limitations at the</w:t>
      </w:r>
      <w:r>
        <w:t xml:space="preserve"> </w:t>
      </w:r>
      <w:r>
        <w:t xml:space="preserve">top level,</w:t>
      </w:r>
      <w:r>
        <w:t xml:space="preserve"> </w:t>
      </w:r>
      <w:r>
        <w:rPr>
          <w:rStyle w:val="VerbatimChar"/>
        </w:rPr>
        <w:t xml:space="preserve">DATA_LICENSE.md</w:t>
      </w:r>
      <w:r>
        <w:t xml:space="preserve"> </w:t>
      </w:r>
      <w:r>
        <w:t xml:space="preserve">gives per-component licensing (which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uniform, and says so where a term is unresolved), and</w:t>
      </w:r>
      <w:r>
        <w:t xml:space="preserve"> </w:t>
      </w:r>
      <w:r>
        <w:rPr>
          <w:rStyle w:val="VerbatimChar"/>
        </w:rPr>
        <w:t xml:space="preserve">ATTRIBUTION.md</w:t>
      </w:r>
      <w:r>
        <w:t xml:space="preserve"> </w:t>
      </w:r>
      <w:r>
        <w:t xml:space="preserve">carries the Wikimedia attribution the CC BY-SA licence requires. The</w:t>
      </w:r>
      <w:r>
        <w:t xml:space="preserve"> </w:t>
      </w:r>
      <w:r>
        <w:t xml:space="preserve">three pre-registrations are commits made before the corresponding data was collected,</w:t>
      </w:r>
      <w:r>
        <w:t xml:space="preserve"> </w:t>
      </w:r>
      <w:r>
        <w:t xml:space="preserve">so their content and ordering are cryptographically fixed. I note in the Data Availability statement that the wall-clock dates are not independently anchored, because the repository was first published after the data was collected. Repository:</w:t>
      </w:r>
      <w:r>
        <w:t xml:space="preserve"> </w:t>
      </w:r>
      <w:hyperlink r:id="rId9">
        <w:r>
          <w:rPr>
            <w:rStyle w:val="Hyperlink"/>
          </w:rPr>
          <w:t xml:space="preserve">https://github.com/alicetinkaya76/turkish-llm-watermarking</w:t>
        </w:r>
      </w:hyperlink>
      <w:r>
        <w:t xml:space="preserve">, release tag</w:t>
      </w:r>
      <w:r>
        <w:t xml:space="preserve"> </w:t>
      </w:r>
      <w:r>
        <w:rPr>
          <w:rStyle w:val="VerbatimChar"/>
        </w:rPr>
        <w:t xml:space="preserve">v1.7.0-paper</w:t>
      </w:r>
      <w:r>
        <w:t xml:space="preserve">, archived at Zenodo under the concept DOI 10.5281/zenodo.22168552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https://doi.org/10.5281/zenodo.22168552</w:t>
        </w:r>
      </w:hyperlink>
      <w:r>
        <w:t xml:space="preserve">). That concept DOI resolves to the most recent</w:t>
      </w:r>
      <w:r>
        <w:t xml:space="preserve"> </w:t>
      </w:r>
      <w:r>
        <w:t xml:space="preserve">archived version and lists the version DOI of each. The version corresponding to this</w:t>
      </w:r>
      <w:r>
        <w:t xml:space="preserve"> </w:t>
      </w:r>
      <w:r>
        <w:t xml:space="preserve">submission is the one tagged</w:t>
      </w:r>
      <w:r>
        <w:t xml:space="preserve"> </w:t>
      </w:r>
      <w:r>
        <w:rPr>
          <w:rStyle w:val="VerbatimChar"/>
        </w:rPr>
        <w:t xml:space="preserve">v1.7.0-paper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Author identification.</w:t>
      </w:r>
      <w:r>
        <w:t xml:space="preserve"> </w:t>
      </w:r>
      <w:r>
        <w:t xml:space="preserve">As requested by the journal: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Ali Çetinkaya (sole author)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Department of Computer Engineering, Faculty of Technology, Selçuk University, Konya, Türkiye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ali.cetinkaya@selcuk.edu.tr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https://orcid.org/0000-0002-7747-6854</w:t>
              </w:r>
            </w:hyperlink>
          </w:p>
        </w:tc>
      </w:tr>
    </w:tbl>
    <w:p>
      <w:pPr>
        <w:pStyle w:val="BodyText"/>
      </w:pPr>
      <w:r>
        <w:t xml:space="preserve">As the sole author I offer, per the journal’s cover-letter requirement, a verified ORCID</w:t>
      </w:r>
      <w:r>
        <w:t xml:space="preserve"> </w:t>
      </w:r>
      <w:r>
        <w:t xml:space="preserve">profile that is kept current with my publications and linked to my institution:</w:t>
      </w:r>
      <w:r>
        <w:t xml:space="preserve"> </w:t>
      </w:r>
      <w:hyperlink r:id="rId11">
        <w:r>
          <w:rPr>
            <w:rStyle w:val="Hyperlink"/>
          </w:rPr>
          <w:t xml:space="preserve">https://orcid.org/0000-0002-7747-6854</w:t>
        </w:r>
      </w:hyperlink>
      <w:r>
        <w:t xml:space="preserve">. My work is in Turkish natural language</w:t>
      </w:r>
      <w:r>
        <w:t xml:space="preserve"> </w:t>
      </w:r>
      <w:r>
        <w:t xml:space="preserve">processing and digital humanities, and the present manuscript sits in that line: it</w:t>
      </w:r>
      <w:r>
        <w:t xml:space="preserve"> </w:t>
      </w:r>
      <w:r>
        <w:t xml:space="preserve">measures an English-developed language technology on Turkish and releases the evaluation</w:t>
      </w:r>
      <w:r>
        <w:t xml:space="preserve"> </w:t>
      </w:r>
      <w:r>
        <w:t xml:space="preserve">material as a documented resource.</w:t>
      </w:r>
    </w:p>
    <w:p>
      <w:pPr>
        <w:pStyle w:val="BodyText"/>
      </w:pPr>
      <w:r>
        <w:rPr>
          <w:b/>
          <w:bCs/>
        </w:rPr>
        <w:t xml:space="preserve">Declaration on parallel and related submissions.</w:t>
      </w:r>
      <w:r>
        <w:t xml:space="preserve"> </w:t>
      </w:r>
      <w:r>
        <w:t xml:space="preserve">The manuscript is original, has</w:t>
      </w:r>
      <w:r>
        <w:t xml:space="preserve"> </w:t>
      </w:r>
      <w:r>
        <w:t xml:space="preserve">not been published, and is not under consideration by any other journal. Three other</w:t>
      </w:r>
      <w:r>
        <w:t xml:space="preserve"> </w:t>
      </w:r>
      <w:r>
        <w:t xml:space="preserve">manuscripts of mine are currently under review elsewhere, and I list them so that the</w:t>
      </w:r>
      <w:r>
        <w:t xml:space="preserve"> </w:t>
      </w:r>
      <w:r>
        <w:t xml:space="preserve">editorial office can satisfy itself that there is no overlap:</w:t>
      </w:r>
    </w:p>
    <w:p>
      <w:pPr>
        <w:pStyle w:val="Compact"/>
        <w:numPr>
          <w:ilvl w:val="0"/>
          <w:numId w:val="1001"/>
        </w:numPr>
      </w:pPr>
      <w:r>
        <w:t xml:space="preserve">ACM</w:t>
      </w:r>
      <w:r>
        <w:t xml:space="preserve"> </w:t>
      </w:r>
      <w:r>
        <w:rPr>
          <w:i/>
          <w:iCs/>
        </w:rPr>
        <w:t xml:space="preserve">Transactions on Asian and Low-Resource Language Information Processing</w:t>
      </w:r>
      <w:r>
        <w:t xml:space="preserve">,</w:t>
      </w:r>
      <w:r>
        <w:t xml:space="preserve"> </w:t>
      </w:r>
      <w:r>
        <w:t xml:space="preserve">manuscript</w:t>
      </w:r>
      <w:r>
        <w:t xml:space="preserve"> </w:t>
      </w:r>
      <w:r>
        <w:rPr>
          <w:b/>
          <w:bCs/>
        </w:rPr>
        <w:t xml:space="preserve">TALLIP-26-0165</w:t>
      </w:r>
      <w:r>
        <w:t xml:space="preserve">, submitted 24 March 2026, status Under Review.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Natural Language Processing</w:t>
      </w:r>
      <w:r>
        <w:t xml:space="preserve"> </w:t>
      </w:r>
      <w:r>
        <w:t xml:space="preserve">(Cambridge University Press, titled</w:t>
      </w:r>
      <w:r>
        <w:t xml:space="preserve"> </w:t>
      </w:r>
      <w:r>
        <w:rPr>
          <w:i/>
          <w:iCs/>
        </w:rPr>
        <w:t xml:space="preserve">Natural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 </w:t>
      </w:r>
      <w:r>
        <w:t xml:space="preserve">until its 2024 renaming), manuscript</w:t>
      </w:r>
      <w:r>
        <w:t xml:space="preserve"> </w:t>
      </w:r>
      <w:r>
        <w:rPr>
          <w:b/>
          <w:bCs/>
        </w:rPr>
        <w:t xml:space="preserve">NLP-2026-0191</w:t>
      </w:r>
      <w:r>
        <w:t xml:space="preserve">, submitted 8 June 2026, status Under Review.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Information Processing &amp; Management</w:t>
      </w:r>
      <w:r>
        <w:t xml:space="preserve"> </w:t>
      </w:r>
      <w:r>
        <w:t xml:space="preserve">(Elsevier), status Minor Revision. The</w:t>
      </w:r>
      <w:r>
        <w:t xml:space="preserve"> </w:t>
      </w:r>
      <w:r>
        <w:t xml:space="preserve">manuscript number is available on request. I have omitted it here only because</w:t>
      </w:r>
      <w:r>
        <w:t xml:space="preserve"> </w:t>
      </w:r>
      <w:r>
        <w:t xml:space="preserve">the revision is not yet resubmitted.</w:t>
      </w:r>
    </w:p>
    <w:p>
      <w:pPr>
        <w:pStyle w:val="FirstParagraph"/>
      </w:pPr>
      <w:r>
        <w:t xml:space="preserve">These three works and the present manuscript</w:t>
      </w:r>
      <w:r>
        <w:t xml:space="preserve"> </w:t>
      </w:r>
      <w:r>
        <w:rPr>
          <w:b/>
          <w:bCs/>
        </w:rPr>
        <w:t xml:space="preserve">share no corpus, no data, no text and</w:t>
      </w:r>
      <w:r>
        <w:rPr>
          <w:b/>
          <w:bCs/>
        </w:rPr>
        <w:t xml:space="preserve"> </w:t>
      </w:r>
      <w:r>
        <w:rPr>
          <w:b/>
          <w:bCs/>
        </w:rPr>
        <w:t xml:space="preserve">no analysis</w:t>
      </w:r>
      <w:r>
        <w:t xml:space="preserve">. They use different materials, address different research questions,</w:t>
      </w:r>
      <w:r>
        <w:t xml:space="preserve"> </w:t>
      </w:r>
      <w:r>
        <w:t xml:space="preserve">and report disjoint results. No figure, table, number or passage is common to any two</w:t>
      </w:r>
      <w:r>
        <w:t xml:space="preserve"> </w:t>
      </w:r>
      <w:r>
        <w:t xml:space="preserve">of them. The only feature they have in common is that they concern Turkish natural</w:t>
      </w:r>
      <w:r>
        <w:t xml:space="preserve"> </w:t>
      </w:r>
      <w:r>
        <w:t xml:space="preserve">language processing, which is my research area, not a shared contribution. Should the</w:t>
      </w:r>
      <w:r>
        <w:t xml:space="preserve"> </w:t>
      </w:r>
      <w:r>
        <w:t xml:space="preserve">editors wish to verify this, I will supply the full texts of the other manuscripts on</w:t>
      </w:r>
      <w:r>
        <w:t xml:space="preserve"> </w:t>
      </w:r>
      <w:r>
        <w:t xml:space="preserve">request.</w:t>
      </w:r>
    </w:p>
    <w:p>
      <w:pPr>
        <w:pStyle w:val="BodyText"/>
      </w:pPr>
      <w:r>
        <w:rPr>
          <w:b/>
          <w:bCs/>
        </w:rPr>
        <w:t xml:space="preserve">Declarations.</w:t>
      </w:r>
      <w:r>
        <w:t xml:space="preserve"> </w:t>
      </w:r>
      <w:r>
        <w:t xml:space="preserve">The submission includes a separate title page and a Statements and</w:t>
      </w:r>
      <w:r>
        <w:t xml:space="preserve"> </w:t>
      </w:r>
      <w:r>
        <w:t xml:space="preserve">Declarations section covering funding, competing interests, ethics approval, consent,</w:t>
      </w:r>
      <w:r>
        <w:t xml:space="preserve"> </w:t>
      </w:r>
      <w:r>
        <w:t xml:space="preserve">data/material/code availability, author contributions, and a declaration of</w:t>
      </w:r>
      <w:r>
        <w:t xml:space="preserve"> </w:t>
      </w:r>
      <w:r>
        <w:t xml:space="preserve">generative AI use. On the last point I draw the editors’ attention to one item, since</w:t>
      </w:r>
      <w:r>
        <w:t xml:space="preserve"> </w:t>
      </w:r>
      <w:r>
        <w:t xml:space="preserve">it is verifiable by any reviewer who opens the public repository: generative AI was</w:t>
      </w:r>
      <w:r>
        <w:t xml:space="preserve"> </w:t>
      </w:r>
      <w:r>
        <w:t xml:space="preserve">used in this project in three separate roles, as the attack instrument under study,</w:t>
      </w:r>
      <w:r>
        <w:t xml:space="preserve"> </w:t>
      </w:r>
      <w:r>
        <w:t xml:space="preserve">as the two judges of Study S2 (both documented in Methods), and as a coding and</w:t>
      </w:r>
      <w:r>
        <w:t xml:space="preserve"> </w:t>
      </w:r>
      <w:r>
        <w:t xml:space="preserve">drafting assistant, and the git history of the repository contains commits carrying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Co-Authored-By: Claude Opus 5</w:t>
      </w:r>
      <w:r>
        <w:t xml:space="preserve"> </w:t>
      </w:r>
      <w:r>
        <w:t xml:space="preserve">trailer. That trailer is a tooling convention that</w:t>
      </w:r>
      <w:r>
        <w:t xml:space="preserve"> </w:t>
      </w:r>
      <w:r>
        <w:t xml:space="preserve">records AI participation in a commit. It is not an authorship claim, no AI system is</w:t>
      </w:r>
      <w:r>
        <w:t xml:space="preserve"> </w:t>
      </w:r>
      <w:r>
        <w:t xml:space="preserve">an author of this paper, and I take sole responsibility for the content. The</w:t>
      </w:r>
      <w:r>
        <w:t xml:space="preserve"> </w:t>
      </w:r>
      <w:r>
        <w:t xml:space="preserve">declaration in the manuscript sets this out in full, so a reviewer need not interpret</w:t>
      </w:r>
      <w:r>
        <w:t xml:space="preserve"> </w:t>
      </w:r>
      <w:r>
        <w:t xml:space="preserve">the repository unaided.</w:t>
      </w:r>
    </w:p>
    <w:p>
      <w:pPr>
        <w:pStyle w:val="BodyText"/>
      </w:pPr>
      <w:r>
        <w:rPr>
          <w:b/>
          <w:bCs/>
        </w:rPr>
        <w:t xml:space="preserve">On length.</w:t>
      </w:r>
      <w:r>
        <w:t xml:space="preserve"> </w:t>
      </w:r>
      <w:r>
        <w:t xml:space="preserve">The manuscript runs longer than the 18–25 pages the guidelines give as</w:t>
      </w:r>
      <w:r>
        <w:t xml:space="preserve"> </w:t>
      </w:r>
      <w:r>
        <w:t xml:space="preserve">typical, and I raise it here. Three things drive it. First, the paper reports two</w:t>
      </w:r>
      <w:r>
        <w:t xml:space="preserve"> </w:t>
      </w:r>
      <w:r>
        <w:t xml:space="preserve">separately pre-registered studies (a false-positive study on 4,000 human windows and a</w:t>
      </w:r>
      <w:r>
        <w:t xml:space="preserve"> </w:t>
      </w:r>
      <w:r>
        <w:t xml:space="preserve">two-judge meaning-preservation study) alongside a ten-attack robustness suite. Second, it</w:t>
      </w:r>
      <w:r>
        <w:t xml:space="preserve"> </w:t>
      </w:r>
      <w:r>
        <w:t xml:space="preserve">prints the full 33-cell realized false-positive table instead of a summary, which the</w:t>
      </w:r>
      <w:r>
        <w:t xml:space="preserve"> </w:t>
      </w:r>
      <w:r>
        <w:t xml:space="preserve">Introduction commits to explicitly because a truncated version of that table is what would</w:t>
      </w:r>
      <w:r>
        <w:t xml:space="preserve"> </w:t>
      </w:r>
      <w:r>
        <w:t xml:space="preserve">hide the finding. Third, it states the scope limits of each claim individually instead of in</w:t>
      </w:r>
      <w:r>
        <w:t xml:space="preserve"> </w:t>
      </w:r>
      <w:r>
        <w:t xml:space="preserve">a single blanket paragraph. I have already removed what could go without loss, condensing</w:t>
      </w:r>
      <w:r>
        <w:t xml:space="preserve"> </w:t>
      </w:r>
      <w:r>
        <w:t xml:space="preserve">the history of three withdrawn statistical treatments to a single paragraph that points to a</w:t>
      </w:r>
      <w:r>
        <w:t xml:space="preserve"> </w:t>
      </w:r>
      <w:r>
        <w:t xml:space="preserve">repository audit note carrying the full derivations, and compressing the declarations. If</w:t>
      </w:r>
      <w:r>
        <w:t xml:space="preserve"> </w:t>
      </w:r>
      <w:r>
        <w:t xml:space="preserve">the editors would prefer it shorter, I would move material in the following order. The</w:t>
      </w:r>
      <w:r>
        <w:t xml:space="preserve"> </w:t>
      </w:r>
      <w:r>
        <w:t xml:space="preserve">33-cell realized false-positive table with its accompanying paragraph would go first, with</w:t>
      </w:r>
      <w:r>
        <w:t xml:space="preserve"> </w:t>
      </w:r>
      <w:r>
        <w:t xml:space="preserve">the maximum observed rate, the number of flagged cells and the clustering caveat retained in</w:t>
      </w:r>
      <w:r>
        <w:t xml:space="preserve"> </w:t>
      </w:r>
      <w:r>
        <w:t xml:space="preserve">the article. The detail of the eight-key sweep would go next, with its range and conclusion</w:t>
      </w:r>
      <w:r>
        <w:t xml:space="preserve"> </w:t>
      </w:r>
      <w:r>
        <w:t xml:space="preserve">retained. Then the version and timestamp discussion in the Data Availability statement and</w:t>
      </w:r>
      <w:r>
        <w:t xml:space="preserve"> </w:t>
      </w:r>
      <w:r>
        <w:t xml:space="preserve">the long-form licensing narrative, with the access route and the warning that the licensing</w:t>
      </w:r>
      <w:r>
        <w:t xml:space="preserve"> </w:t>
      </w:r>
      <w:r>
        <w:t xml:space="preserve">is not uniform retained. Last, the exploratory re-scoring and contamination</w:t>
      </w:r>
      <w:r>
        <w:t xml:space="preserve"> </w:t>
      </w:r>
      <w:r>
        <w:t xml:space="preserve">observations. I would keep the length control of Section 4.3 in the article even</w:t>
      </w:r>
      <w:r>
        <w:t xml:space="preserve"> </w:t>
      </w:r>
      <w:r>
        <w:t xml:space="preserve">under pressure, since it is what prevents the Turkish-English comparison from being</w:t>
      </w:r>
      <w:r>
        <w:t xml:space="preserve"> </w:t>
      </w:r>
      <w:r>
        <w:t xml:space="preserve">read as a token-budget confound, and it changed a pre-registered conclusion. That</w:t>
      </w:r>
      <w:r>
        <w:t xml:space="preserve"> </w:t>
      </w:r>
      <w:r>
        <w:t xml:space="preserve">sequence would bring the article close to the typical range, and I am happy to do it</w:t>
      </w:r>
      <w:r>
        <w:t xml:space="preserve"> </w:t>
      </w:r>
      <w:r>
        <w:t xml:space="preserve">on request.</w:t>
      </w:r>
    </w:p>
    <w:p>
      <w:pPr>
        <w:pStyle w:val="BodyText"/>
      </w:pPr>
      <w:r>
        <w:t xml:space="preserve">I confirm that the manuscript has been prepared in accordance with the journal’s</w:t>
      </w:r>
      <w:r>
        <w:t xml:space="preserve"> </w:t>
      </w:r>
      <w:r>
        <w:t xml:space="preserve">instructions for authors, and I have no objection to single-blind review.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rPr>
          <w:b/>
          <w:bCs/>
        </w:rPr>
        <w:t xml:space="preserve">Ali Çetinkaya</w:t>
      </w:r>
      <w:r>
        <w:t xml:space="preserve"> </w:t>
      </w:r>
      <w:r>
        <w:t xml:space="preserve">Department of Computer Engineering, Faculty of Technology</w:t>
      </w:r>
      <w:r>
        <w:t xml:space="preserve"> </w:t>
      </w:r>
      <w:r>
        <w:t xml:space="preserve">Selçuk University, Alaeddin Keykubat Campus, 42075 Selçuklu, Konya, Türkiye</w:t>
      </w:r>
      <w:r>
        <w:t xml:space="preserve"> </w:t>
      </w:r>
      <w:r>
        <w:t xml:space="preserve">ali.cetinkaya@selcuk.edu.tr · +90 332 241 11 02</w:t>
      </w:r>
      <w:r>
        <w:t xml:space="preserve"> </w:t>
      </w:r>
      <w:r>
        <w:t xml:space="preserve">ORCID 0000-0002-7747-6854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5281/zenodo.22168552" TargetMode="External" /><Relationship Type="http://schemas.openxmlformats.org/officeDocument/2006/relationships/hyperlink" Id="rId9" Target="https://github.com/alicetinkaya76/turkish-llm-watermarking" TargetMode="External" /><Relationship Type="http://schemas.openxmlformats.org/officeDocument/2006/relationships/hyperlink" Id="rId11" Target="https://orcid.org/0000-0002-7747-685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5281/zenodo.22168552" TargetMode="External" /><Relationship Type="http://schemas.openxmlformats.org/officeDocument/2006/relationships/hyperlink" Id="rId9" Target="https://github.com/alicetinkaya76/turkish-llm-watermarking" TargetMode="External" /><Relationship Type="http://schemas.openxmlformats.org/officeDocument/2006/relationships/hyperlink" Id="rId11" Target="https://orcid.org/0000-0002-7747-685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2026-09-03T06:53:08Z</dcterms:created>
  <dcterms:modified xsi:type="dcterms:W3CDTF">2026-09-03T06:53:08Z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