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contributes exposure, not mechanism: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and we report the full realized false-positive table rather than assuming that a threshold calibrated on clean negatives keeps its nominal rate under attack.</w:t>
      </w:r>
    </w:p>
    <w:p>
      <w:pPr>
        <w:spacing w:after="120" w:line="276"/>
        <w:jc w:val="both"/>
      </w:pPr>
      <w:r>
        <w:t xml:space="preserve">Three findings follow, and because each is bounded in a different way the contribution list below states each with its own scope. The headline is a calibration failure on human Turkish: the KGW null standard deviation is 1.479 against a theoretical 1, and the shipped z = 4 threshold flags 3 of 1,500 excerpts, roughly 63 times nominal. Two of the three pre-registered S1 hypotheses are confirmed; the third, which attributed the inflation to Turkish rather than English, does not survive a length control we added after pre-registration and report in full, so Turkish worsens a failure common to both languages instead of creating a Turkish-specific one.</w:t>
      </w:r>
    </w:p>
    <w:p>
      <w:pPr>
        <w:spacing w:after="120" w:line="276"/>
        <w:jc w:val="both"/>
      </w:pPr>
      <w:r>
        <w:t xml:space="preserve">We also report a negative result plainly, because the study was originally motivated by the conjecture that Turkish morphology would itself furnish a meaning-preserving removal attack. It does not, on this corpus: the transforms target progressive -(I)yor forms that the formal register the generator produces rarely contains, so coverage is too low to move detection at all. Section 6 gives the edit counts, the surviving v0 slope and the retracted v1 slope.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detector with the lowest human-text flag rate is the most fragile.</w:t>
      </w:r>
      <w:r>
        <w:t xml:space="preserve"> At its own shipped threshold SynthID falsely flags none of the 1,500 human Turkish windows, against 3 for KGW and 13 for EXP, but it takes the largest attack losses (AUROC 0.816 under round-trip translation, 0.747 under laundering), and is the more fragile scheme in all four of the six paired comparisons it enters, each with a Holm-adjusted p below .05 within that six-test family (the family was fixed before the per-scheme results were seen; the two attack conditions it runs in were selected from the aggregate ranking, and Section 3.3 sets out what that does and does not affect); KGW and EXP are not separated by these data.</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and an automated check compares the manuscript's two inferential tables against that output cell by cell; confidence intervals are prompt-clustered; degenerate cells report counted separation descriptively, with no p-value attached;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 It is worth being explicit about what is </w:t>
      </w:r>
      <w:r>
        <w:rPr>
          <w:i/>
          <w:iCs/>
        </w:rPr>
        <w:t xml:space="preserve">not</w:t>
      </w:r>
      <w:r>
        <w:t xml:space="preserve"> new here, because the boundary is easy to overstate.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optimisation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optimisation and no probing. Translation-based removal is likewise established, both as round-trip translation (He et al., 2024) and as cross-lingual summarisation (Ganesan, 2025). So is the character-level family our diacritic-stripping attacks belong to: Zhang et al. (2026) show that character-level edits such as typos, swaps and homoglyphs are disproportionately effective because they disrupt tokenization, so a single edit shifts many tokens at once. What is specific to Turkish is not the mechanism but its ecology – writing ç, ğ, ı, ö, ş, ü as ASCII is ordinary keyboard practice rather than an adversarial act, so the perturbation arrives in ordinary text at rates an attack model would not predict. What we contribute on this axis is therefore not a new attack but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also a language whose resource landscape has been surveyed critically: Çöltekin et al. (2023) catalogue the available corpora and lexical resources and document persistent gaps in accessibility, licensing and register coverage, which is part of why we release the evaluation material here as a documented resource rather than only reporting measurements from it.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 they alter morphology to insert a signal, we alter it to strip one – but it is the closest linguistic antecedent to our morphological attack, and it is worth stating plainly that using Turkish morphology to manipulate a watermark is not new here. Morphological analysis for Turkish is available through the zeyrek analyzer (Bulat, 2022), an alpha-stage partial port of Zemberek, which we use to build that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(Table 3):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and prefer a strong description to a p-value we cannot defend.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artifact.</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The two conditions carried into the focused comparisons, rtt and launder_api, were chosen after the aggregate attack ranking of Table 4 was inspected, not before it, and we say so rather than letting "the two strongest attacks" read as a pre-specified choice. What was fixed before the per-scheme results were seen is the test family built on them. That selection has a consequence for how the two tables below should be read, and it is not the same consequence for both. Because the conditions were chosen on a functional of the same outcome data, the multiplicity adjustments reported in Tables 5 and 6 apply only within the families displayed there and do not account for the preceding selection among ten attacks. For Table 6 the selection axis and the contrast axis are different: the ranking that chose the conditions averages over schemes, whereas the tests compare schemes within a condition, so the quantity that drove the selection is not the quantity being tested, and the Holm adjustment over the six displayed tests keeps its ordinary interpretation within them. For Table 5 the two axes coincide: the ranking placed launder_api above rtt, and Table 5 asks, within each scheme, whether launder_api is the more destructive of exactly that pair. Its p-values are therefore selection-conditional, and we report Table 5 as an exploratory post-selection contrast rather than as a familywise-controlled test. There the effect sizes with their clustered intervals, which do not depend on the ordering that drove the selection, are the primary quantity, and the p-values are retained as secondary description rather than deleted.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 two-sided exact paired sign-flip permutation test as the primary p-value, conditional on within-prompt exchangeability of the two attack outcomes. We state that as an assumption rather than a design guarantee: the two conditions are substantively different transformations, not randomly assigned labels, so exchangeability is a modelling assumption about the null and not something randomisation delivers. What the pairing does give us, and what the withdrawn test of the degenerate cells lacked, is a genuine matched unit – swapping the two conditions within a prompt maps exactly onto flipping the sign of that prompt's difference – and a comparator that is invariant to the swap. Alongside it we report a Wilcoxon signed-rank test using Pratt's convention, which ranks zero differences rather than discarding them. We also report the mean rate difference with a prompt-clustered bootstrap interval, because a p-value alone does not convey the size of the effect; that interval resamples prompt clusters jointly across the clean negatives and both attack arms and re-derives the threshold inside every replicate, so it carries the uncertainty of the calibration sample. The permutation p-value remains conditional on the observed calibration sample. An earlier version of this comparison ran on the per-prompt mean raw statistic instead. That test is internally valid – within a scheme the scale is fixed – but it estimates mean detector-score displacement, not the change in detection at the operating threshold that the surrounding text and Table 5 describe;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against the clean condition, averaged over schemes. Two dominate: external laundering at 0.158 and round-trip translation at 0.091. The diacritic family produces small but non-zero drops, self-paraphrase attacks are near zero, and the two purely morphological attacks drop exactly 0.000, a negative result analyzed in Section 6. The instructive contrast is within the laundering pair: routed through the generator itself the attack is nearly harmless (0.008), while the same operation through an external model is the strongest observed, taking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and rtt to 0.594, 0.792 and 0.312 (Table 5). These are small-sample estimates, and their prompt-clustered intervals are wide, spanning [0.198, 0.729] for KGW under launder_api and [0.073, 0.385] for SynthID; the ordering among schemes at a fixed attack should therefore not be read from these point values, and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on per-prompt detection rates at each scheme's clean-calibrated threshold (n = 24 prompts; row-level tests would violate the clustering structure identified above). The direction is consistent in all three schemes: the mean per-prompt detection rate is lower under launder_api, by 0.167 for KGW, 0.302 for EXP and 0.063 for SynthID. Only EXP falls below the Bonferroni threshold of the displayed three-scheme family (two-sided exact sign-flip permutation p = 0.012 against α = 0.0167); KGW's uncorrected p is 0.024, above that threshold, and SynthID's is 0.415, far from it. These are exploratory post-selection contrasts, for the reason set out in Section 3.3: the ranking that selected this pair of conditions is the same ordering the test then re-examines, so the adjustment covers the three displayed comparisons and not the search over ten attacks that produced them. We therefore read the effect sizes rather than the decisions. The direction is the same in all three schemes, and the estimated size of the effect is largest for EXP; the marginal, uncorrected 95% intervals exclude zero for EXP, [−0.510, −0.115], and for KGW, [−0.271, −0.052], and include it for SynthID, [−0.188, +0.042]. That KGW's interval excludes zero while its p sits above the Bonferroni threshold is not a contradiction: a marginal interval and a corrected decision at α = 0.0167 control different error rates, and we report both rather than the more favourable one. Under the within-prompt exchangeability assumption of Section 3.3, and conditional on the selection just described, the evidence for laundering being the more destructive of the two is strongest for EXP and weakest for SynthID.</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w:t>
      </w:r>
      <w:r>
        <w:rPr>
          <w:b/>
          <w:bCs/>
          <w:sz w:val="17"/>
          <w:szCs w:val="17"/>
        </w:rPr>
        <w:t xml:space="preserve">These are exploratory post-selection contrasts</w:t>
      </w:r>
      <w:r>
        <w:rPr>
          <w:sz w:val="17"/>
          <w:szCs w:val="17"/>
        </w:rPr>
        <w:t xml:space="preserve">: the two conditions were chosen after the aggregate attack ranking of Table 4 was inspected, and that ranking already ordered launder_api above rtt, so the Bonferroni adjustment shown here (over the 3 displayed schemes, α = 0.05/3 ≈ 0.0167) does not account for the selection step and the last column is not a familywise significance verdict. Δ, with its interval, is the primary quantity. Δ is the mean per-prompt rate difference (launder_api − rtt; negative = laundering more destructive) with its marginal, uncorrected prompt-clustered bootstrap 95% CI, which resamples clusters jointly across the clean negatives and both attack arms and re-derives the threshold in every replicate. Because a rate over four seeds takes only five values, "non-zero" gives the number of prompt pairs with a non-zero difference. "TPR laund." is the detection rate under launder_api; "Perm. p" is the two-sided exact paired sign-flip permutation test over the non-zero pairs, conditional on the observed calibration sample;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vs. within-family α</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[−0.271,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above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[−0.510, −0.115]</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below</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[−0.188, +0.042]</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above</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Holm-corrected) was specified before the per-scheme results were inspected (Section 3.3). The two conditions the family is built on were themselves selected from the aggregate ranking, but on the axis that matters here that selection is orthogonal to the contrast: the ranking averages over schemes, whereas these tests compare schemes within a condition. The Holm adjustment therefore retains its ordinary interpretation over the six displayed tests, while carrying no guarantee about the choice of the two conditions in which they are computed. Within that family SynthID is the more fragile scheme in every comparison it enters: all four tests involving SynthID have Holm-adjusted p-values below .05, with mean rate differences from 0.177 to 0.479 (Table 6). KGW and EXP are not separated by these data under either attack (p = 0.104 and p = 0.513), which at n = 24 is a failure to reject and not evidence of equivalence.</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 The two conditions in which the tests are computed were selected from the aggregate attack ranking (Section 3.3); because that ranking averages over schemes and these tests contrast schemes, the adjustment is interpreted within the six displayed tests and makes no claim about the selection of the conditions.</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0.0003</w:t>
            </w:r>
          </w:p>
        </w:tc>
        <w:tc>
          <w:tcPr>
            <w:tcW w:type="dxa" w:w="1216"/>
            <w:tcMar>
              <w:top w:type="dxa" w:w="60"/>
              <w:left w:type="dxa" w:w="100"/>
              <w:bottom w:type="dxa" w:w="60"/>
              <w:right w:type="dxa" w:w="100"/>
            </w:tcMar>
          </w:tcPr>
          <w:p>
            <w:pPr>
              <w:spacing w:after="0"/>
              <w:jc w:val="right"/>
            </w:pPr>
            <w:r>
              <w:rPr>
                <w:sz w:val="17"/>
                <w:szCs w:val="17"/>
              </w:rPr>
              <w:t xml:space="preserve">0.0083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0.0012</w:t>
            </w:r>
          </w:p>
        </w:tc>
        <w:tc>
          <w:tcPr>
            <w:tcW w:type="dxa" w:w="1216"/>
            <w:tcMar>
              <w:top w:type="dxa" w:w="60"/>
              <w:left w:type="dxa" w:w="100"/>
              <w:bottom w:type="dxa" w:w="60"/>
              <w:right w:type="dxa" w:w="100"/>
            </w:tcMar>
          </w:tcPr>
          <w:p>
            <w:pPr>
              <w:spacing w:after="0"/>
              <w:jc w:val="right"/>
            </w:pPr>
            <w:r>
              <w:rPr>
                <w:sz w:val="17"/>
                <w:szCs w:val="17"/>
              </w:rPr>
              <w:t xml:space="preserve">0.0100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0.2396</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0.0034</w:t>
            </w:r>
          </w:p>
        </w:tc>
        <w:tc>
          <w:tcPr>
            <w:tcW w:type="dxa" w:w="1216"/>
            <w:tcMar>
              <w:top w:type="dxa" w:w="60"/>
              <w:left w:type="dxa" w:w="100"/>
              <w:bottom w:type="dxa" w:w="60"/>
              <w:right w:type="dxa" w:w="100"/>
            </w:tcMar>
          </w:tcPr>
          <w:p>
            <w:pPr>
              <w:spacing w:after="0"/>
              <w:jc w:val="right"/>
            </w:pPr>
            <w:r>
              <w:rPr>
                <w:sz w:val="17"/>
                <w:szCs w:val="17"/>
              </w:rPr>
              <w:t xml:space="preserve">0.0125</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0.0126</w:t>
            </w:r>
          </w:p>
        </w:tc>
        <w:tc>
          <w:tcPr>
            <w:tcW w:type="dxa" w:w="1216"/>
            <w:tcMar>
              <w:top w:type="dxa" w:w="60"/>
              <w:left w:type="dxa" w:w="100"/>
              <w:bottom w:type="dxa" w:w="60"/>
              <w:right w:type="dxa" w:w="100"/>
            </w:tcMar>
          </w:tcPr>
          <w:p>
            <w:pPr>
              <w:spacing w:after="0"/>
              <w:jc w:val="right"/>
            </w:pPr>
            <w:r>
              <w:rPr>
                <w:sz w:val="17"/>
                <w:szCs w:val="17"/>
              </w:rPr>
              <w:t xml:space="preserve">0.0167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0.1039</w:t>
            </w:r>
          </w:p>
        </w:tc>
        <w:tc>
          <w:tcPr>
            <w:tcW w:type="dxa" w:w="1216"/>
            <w:tcMar>
              <w:top w:type="dxa" w:w="60"/>
              <w:left w:type="dxa" w:w="100"/>
              <w:bottom w:type="dxa" w:w="60"/>
              <w:right w:type="dxa" w:w="100"/>
            </w:tcMar>
          </w:tcPr>
          <w:p>
            <w:pPr>
              <w:spacing w:after="0"/>
              <w:jc w:val="right"/>
            </w:pPr>
            <w:r>
              <w:rPr>
                <w:sz w:val="17"/>
                <w:szCs w:val="17"/>
              </w:rPr>
              <w:t xml:space="preserve">0.0250</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−0.0625</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0.5127</w:t>
            </w:r>
          </w:p>
        </w:tc>
        <w:tc>
          <w:tcPr>
            <w:tcW w:type="dxa" w:w="1216"/>
            <w:tcMar>
              <w:top w:type="dxa" w:w="60"/>
              <w:left w:type="dxa" w:w="100"/>
              <w:bottom w:type="dxa" w:w="60"/>
              <w:right w:type="dxa" w:w="100"/>
            </w:tcMar>
          </w:tcPr>
          <w:p>
            <w:pPr>
              <w:spacing w:after="0"/>
              <w:jc w:val="right"/>
            </w:pPr>
            <w:r>
              <w:rPr>
                <w:sz w:val="17"/>
                <w:szCs w:val="17"/>
              </w:rPr>
              <w:t xml:space="preserve">0.0500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a theoretical 1, and the largest observed statistic is z = 5.08. Empirically 3 of 1,500 windows exceed z = 4, a rate of 2.0 × 10⁻³ or approximately 63 times nominal; we treat this count-based estimate as primary. A Gaussian fit implies ≈ 96 times nominal, but H1 itself establishes that the Gaussian model is misspecified, so that figure corroborates the order of magnitude and is never the headline.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study runs on one key, the MarkLLM default, and a keyed scheme could owe its null behaviour to that particular partition. Because S1 requires no generation, we rescored all 4,000 windows under eight keys.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scoring 100k multilingual Wikipedia texts under ten master keys. Their decomposition matters for reading ours: part of the gap is the Gaussian approximation itself, which exact tests close, and the residue is what repeated context windows contribute.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are consistent with length rather than morphology carrying the effect, without establishing causal mediation.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The measured inflation puts the realized false-positive rate at roughly 63 times nominal, with an exact interval of 13 to 184 times (Section 4.3), so a Turkish deployment shipping the default accuses human writers at far above the rate the scheme's theory promises (Kirchenbauer et al., 2023), and the eight-key sweep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and exactly the same tail count, and at the matched token budgets we evaluated no statistically detectable difference between the two languages remains, which is a failure to detect a difference on this sample rather than a demonstration of equivalence. What Turkish adds is exposure rather than a different mechanism: its subword fertility is roughly twice that of English, so a document of a given reading length is scored over roughly twice as many tokens, and the inflation grows with tokens scored. A deployment serving Turkish sits further along the same curve, not on a different one. Nemecek et al. (2026) reach the same structural verdict from a wider grid, reporting that cross-lingual disparity is predominantly between typological families rather than idiosyncratic to particular languages, and that every scheme they audit ships a hardcoded threshold targeting a theoretical rate under an IID-token null that multilingual generation does not satisfy. Their prescription, empirical per-deployment calibration, is ours as well; what our measurement adds is the second axis.</w:t>
      </w:r>
    </w:p>
    <w:p>
      <w:pPr>
        <w:spacing w:after="120" w:line="276"/>
        <w:jc w:val="both"/>
      </w:pPr>
      <w:r>
        <w:t xml:space="preserve">That second axis is the negative distribution, not just the language. Thresholds set to 1% FPR on the model's own unwatermarked outputs do not transfer to human text, yielding 7.4% on human Turkish for EXP and 4.1% on human English for SynthID (exploratory, not pre-registered). Model-generated negatives are an inadequate proxy for the human text a deployed detector actually screens, so deployments should calibrate on, and report, the negative distribution of their own language and register. Two remedies for the underlying dependence already exist and we applied neither: Fernandez et al. (2023) score only tokens whose watermark context has not already been seen in the document, and both Fernandez et al. (2023) and Khachaturov et al. (2025) recommend a wider seeding window. We measure the configuration as shipped (</w:t>
      </w:r>
      <w:r>
        <w:rPr>
          <w:rFonts w:ascii="Consolas" w:cs="Consolas" w:eastAsia="Consolas" w:hAnsi="Consolas"/>
          <w:sz w:val="18"/>
          <w:szCs w:val="18"/>
        </w:rPr>
        <w:t xml:space="preserve">prefix_length</w:t>
      </w:r>
      <w:r>
        <w:t xml:space="preserve"> = 1 with z = 4, the MarkLLM defaults; Pan et al., 2024), which is what a deployment inherits unless it knows to change it, so our figure is the cost of that default rather than a bound on the scheme family.</w:t>
      </w:r>
    </w:p>
    <w:p>
      <w:pPr>
        <w:pStyle w:val="Heading2"/>
        <w:spacing w:after="120" w:before="220"/>
      </w:pPr>
      <w:r>
        <w:rPr>
          <w:b/>
          <w:bCs/>
          <w:sz w:val="22"/>
          <w:szCs w:val="22"/>
        </w:rPr>
        <w:t xml:space="preserve">5.2 The scheme with the fewest human-text flags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systems open to attack and derive fundamental trade-offs among robustness, utility and usability. The pair we measure, attack robustness against the behaviour of the null on unwatermarked text, is not among theirs, and it is the pair a deployment has to price, because one axis governs how often the watermark is missed and the other how often an innocent writer is accused. Since the three detectors report statistics on different scales, the comparable quantity is the realized false-positive rate at each scheme's own shipped threshold, on which SynthID (Dathathri et al., 2024) flags fewest and EXP most (Section 4.3). Yet SynthID is the most fragile under attack: all four prompt-level differences with a Holm-adjusted p below .05 are against it (Table 6), and under laundering its AUROC falls to 0.747 with TPR 0.250. The absolute half of that observation is not new: Han et al. (2025) report SynthID-Text degraded by meaning-preserving attacks including paraphrase and back-translation, and propose hybridizing it with a semantic scheme (Liu et al., 2024). What we add is that the same scheme sits at the opposite extreme on the calibration axis, measured on human text in a language neither line of work covers.</w:t>
      </w:r>
    </w:p>
    <w:p>
      <w:pPr>
        <w:spacing w:after="120" w:line="276"/>
        <w:jc w:val="both"/>
      </w:pPr>
      <w:r>
        <w:t xml:space="preserve">Across these three configurations, then, no scheme dominates on both axes at once, and the one with the lowest observed flag count on our human-text sample is also the easiest to wash out. We state that as a no-dominance pattern in this sample rather than as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with both judges classifying meaning as preserved in every judged pair drawn from the KGW arm. Its effect on fluency is indeterminate rather than absent: the independent judge's position-flip rate on those pairs was 50.0%, above the pre-registered 30% bound, so no directional fluency conclusion is available in either direction, including the claim that fluency is unharmed (Section 4.4). This is a counterweight to Kirchenbauer et al. (2024), who report that after strong human paraphrase a green-list watermark remains detectable once roughly 800 tokens are observed at a nominal 10⁻⁵ false-positive rate. Our texts exceed that budget and detection still falls to a true-positive rate of 0.427 for KGW and 0.250 for SynthID. Two differences make this a boundary condition rather than a failed replication: their attack paraphrases whereas ours rewrites through a different and external model, and their token budget derives from a nominal 10⁻⁵ rate that Section 4.3 measures to be wrong on human text by one to two orders of magnitude, so the length at which detection becomes trustworthy is itself understated. Nor is it covert truncation, since the median attacked-to-source length ratio is 0.976.</w:t>
      </w:r>
    </w:p>
    <w:p>
      <w:pPr>
        <w:spacing w:after="120" w:line="276"/>
        <w:jc w:val="both"/>
      </w:pPr>
      <w:r>
        <w:t xml:space="preserve">The contrast with self-paraphrase is instructive: asking the watermarking model itself to rewrite its output barely moves detection (mean AUROC drop 0.008 for launder, 0.001 for para), so the attack's power comes from routing text through a different model outside the defender's control, not from paraphrasing as such. It is also cheap and requires no knowledge of the scheme or key, costing USD 17.704 over the whole corpus while degrading all three schemes at once.</w:t>
      </w:r>
    </w:p>
    <w:p>
      <w:pPr>
        <w:spacing w:after="120" w:line="276"/>
        <w:jc w:val="both"/>
      </w:pPr>
      <w:r>
        <w:t xml:space="preserve">We evaluate no defenses. In theory the question is largely settled but not uncontested. Zhang et al. (2024) prove that no strong watermarking scheme survives an attacker holding a quality oracle and a mixing perturbation oracle, and instantiate that attack against the green-list scheme (Kirchenbauer et al., 2023) we test and against the distortion-free family (Kuditipudi et al., 2024), of which we test the Aaronson–Kirchner variant rather than their edit-robust algorithms. Harel-Canada et al. (2025) test the two assumptions that argument rests on and find both fail empirically: mixing is slow, with every perturbed text still retaining traces of its origin after hundreds of edits, and automated quality oracles are unreliable at 77% accuracy, so their random-walk attacks remove watermarks 26% of the time and 10% under human quality review. Our result is not in tension with theirs so much as differently situated: a single pass through a strong external model is not a random walk under a noisy oracle, and we did not measure quality with human raters as they did. Which picture a deployment faces depends on whether the attacker can afford one call to a capable model. What remains open is empirical: how much detection survives which rewrite budget, for which scheme, at which document length and in which language, and whether the paraphrase-oriented schemes of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comes from a single generator, Qwen3-14B (Yang et al., 2025). This was not for lack of trying: five candidates were run through the same pre-registered acceptance gate and only Qwen3-14B passed, the others failing on foreign-script contamination, under-delivery, or failure to terminate (gate records are in the repository). Cross-model replication was therefore attempted and not achieved, and producing acceptable long-form Turkish appears to be a barrier in its own right. Nothing here licenses generalization to other model families, scales or tokenizers; the calibration failure in particular is a property of a scheme–tokenizer–language triple and must be re-measured for any other pairing. The scheme set is bounded the same way: all three schemes perturb or couple the next-token distribution using a key seeded from surface context, and all three run as the toolkit ships them. Schemes designed precisely against paraphrase, SIR (Liu et al., 2024) and SemStamp (Hou et al., 2024), are implemented in MarkLLM and were not evaluated, so the laundering result is a statement about surface-context-seeded schemes at default settings, not about watermarking in general. Generation ran on a single machine and GPU; the determinism test returned token-identical sequences under the pinned stack, but that is a single-environment result, not a portability claim.</w:t>
      </w:r>
    </w:p>
    <w:p>
      <w:pPr>
        <w:spacing w:after="120" w:line="276"/>
        <w:jc w:val="both"/>
      </w:pPr>
      <w:r>
        <w:rPr>
          <w:b/>
          <w:bCs/>
        </w:rPr>
        <w:t xml:space="preserve">Human-text baseline (S1).</w:t>
      </w:r>
      <w:r>
        <w:t xml:space="preserve"> The corpus covers two registers, encyclopedic prose from Wikipedia (Wikimedia Foundation, 2023a) and older official/literary prose from Turkish Wikisource, and the inflation replicates across both (Section 4.3); newspaper, essayistic or conversational Turkish may behave differently. Sample size bounds precision: at n = 1,500 windows per language the design supports order-of-magnitude statements but not finer resolution, which is why the empirical estimate is primary and the Gaussian extrapolation approximate only. The key sweep covers eight keys for S1 only, so every robustness number in Section 4.2 is conditional on the single study key, and the length control was applied to the human-text null, not to the generated corpus.</w:t>
      </w:r>
    </w:p>
    <w:p>
      <w:pPr>
        <w:spacing w:after="120" w:line="276"/>
        <w:jc w:val="both"/>
      </w:pPr>
      <w:r>
        <w:rPr>
          <w:b/>
          <w:bCs/>
        </w:rPr>
        <w:t xml:space="preserve">Detector keys are device-class-bound.</w:t>
      </w:r>
      <w:r>
        <w:t xml:space="preserve"> A SynthID detector instantiated on CPU draws a different pseudo-random key stream than one on CUDA, so watermarked text scored on the wrong device class collapses to chance (mean g-score 0.498 vs. 0.530), while re-scoring on the generation device reproduces the shipped scores bit-exactly. The S1 measurements are unaffected, since no watermark is present there. We limit the claim to what we measured, SynthID across two device classes; it is not a general statement about all three schemes. Any deployment must detect on the same device class as generation, or serialize the key explicitly.</w:t>
      </w:r>
    </w:p>
    <w:p>
      <w:pPr>
        <w:spacing w:after="120" w:line="276"/>
        <w:jc w:val="both"/>
      </w:pPr>
      <w:r>
        <w:rPr>
          <w:b/>
          <w:bCs/>
        </w:rPr>
        <w:t xml:space="preserve">The morphological attack did not fire.</w:t>
      </w:r>
      <w:r>
        <w:t xml:space="preserve"> The attack planned as the central typological probe produced almost no edits: morph averages 1.1 edits per text with 60.4% of texts unchanged, morph_v1 averages 7.5 (4.2% unchanged). The mechanism is a register mismatch, since the transforms target the progressive suffix -(I)yor and the formal expository register the model produces rarely uses it. The detection effect is null (mean AUROC drop 0.000 for both). Where morph did fire (n = 38 texts with non-zero edits) the per-edit slope survives our robustness battery (0.052 z per edit, 95% CI [0.022, 0.071], Spearman ρ = 0.579, p = 0.00014) but is practically tiny: at the observed mean of 2.9 edits it implies about 0.15 z against a matched clean-signal mean of 11.467. The morph_v1 slope is retracted after the same battery, its 95% CI including zero and its sign flipping when the three highest-leverage points are removed. Whether an informal-register corpus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whose deployed version can change without notice. The raw laundered outputs are stored, so every detection score recomputes exactly, but the attack generation itself may not be re-creatable against a future version. Read it as an existence demonstration rather than a stable measurement of a fixed system.</w:t>
      </w:r>
    </w:p>
    <w:p>
      <w:pPr>
        <w:spacing w:after="120" w:line="276"/>
        <w:jc w:val="both"/>
      </w:pPr>
      <w:r>
        <w:rPr>
          <w:b/>
          <w:bCs/>
        </w:rPr>
        <w:t xml:space="preserve">EXP is structurally different.</w:t>
      </w:r>
      <w:r>
        <w:t xml:space="preserve"> The EXP implementation generates a fixed 950 tokens, does not consume the shared sampling arguments, and never stops at EOS; its token-count standard deviation is 1.5 against 178.2 for KGW, 158.4 for SynthID and 101.0 unwatermarked, and its 96 texts are exempt from the termination criterion. Any cross-scheme comparison of text quality is therefore confounded with this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 arm, as the pre-registration fixed, so meaning preservation is measured for attacks on KGW text and carried to the EXP and SynthID rows of Table 11 by assumption. The assumption is not idle: meaning preservation is a property of the (source, rewrite) pair, the sources differ by arm, and cross-scheme quality comparisons are confounded as just noted. Judging the other two arms would cost roughly three US dollars, since the attacked texts already exist, and is the first extension a replication should make. Only four of the ten attacks were judged, and the pre-registered rule counts "partially preserved" as preservation, which is the permissive reading.</w:t>
      </w:r>
    </w:p>
    <w:p>
      <w:pPr>
        <w:spacing w:after="120" w:line="276"/>
        <w:jc w:val="both"/>
      </w:pPr>
      <w:r>
        <w:rPr>
          <w:b/>
          <w:bCs/>
        </w:rPr>
        <w:t xml:space="preserve">Acceptance thresholds are only partly justified.</w:t>
      </w:r>
      <w:r>
        <w:t xml:space="preserve"> Of the pre-fixed thresholds (word count ≥ 300, compliance ≥ 0.75, termination ≥ 0.90, contamination ≤ 0.05), compliance is inherited from the pre-gate criterion but the 0.90 and 0.05 values have no external justification. They were fixed before any corpus data existed, which protects against post-hoc tuning, but no sensitivity analysis was performed.</w:t>
      </w:r>
    </w:p>
    <w:p>
      <w:pPr>
        <w:spacing w:after="120" w:line="276"/>
        <w:jc w:val="both"/>
      </w:pPr>
      <w:r>
        <w:rPr>
          <w:b/>
          <w:bCs/>
        </w:rPr>
        <w:t xml:space="preserve">Implementation-level caveats.</w:t>
      </w:r>
      <w:r>
        <w:t xml:space="preserve"> KGW's effective green-list fraction is 0.499118 rather than the configured γ = 0.5, because the implementation sizes the list from the tokenizer length (151,669) rather than the declared vocabulary size (151,936). Among the candidate models examined here this deviation was specific to the Qwen tokenizer: both rejected candidates have tokenizer lengths equal to their declared vocabulary sizes, giving a deviation of exactly 0. Two of 96 KGW texts and 2 of 96 SynthID texts hit the 1800-token cap and are truncated. In the first run the attention implementation fell back to the transformers default; this was not deliberate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SynthID 9/96, against 2/96 unwatermarked and 0/96 for EXP; 19 of 384 texts overall, 4.9%, under the pre-registered 5% gate). This was noticed after the data were collected, and is recorded as an exploratory replication hypothesis, not a finding.</w:t>
      </w:r>
    </w:p>
    <w:p>
      <w:pPr>
        <w:pStyle w:val="Heading1"/>
        <w:spacing w:after="120" w:before="320"/>
      </w:pPr>
      <w:r>
        <w:rPr>
          <w:b/>
          <w:bCs/>
          <w:sz w:val="26"/>
          <w:szCs w:val="26"/>
        </w:rPr>
        <w:t xml:space="preserve">7 Reproducibility Statement</w:t>
      </w:r>
    </w:p>
    <w:p>
      <w:pPr>
        <w:spacing w:after="120" w:line="276"/>
        <w:jc w:val="both"/>
      </w:pPr>
      <w:r>
        <w:t xml:space="preserve">Every number in this paper is generated from the data by code. </w:t>
      </w:r>
      <w:r>
        <w:rPr>
          <w:rFonts w:ascii="Consolas" w:cs="Consolas" w:eastAsia="Consolas" w:hAnsi="Consolas"/>
          <w:sz w:val="18"/>
          <w:szCs w:val="18"/>
        </w:rPr>
        <w:t xml:space="preserve">pilot/metrics.py</w:t>
      </w:r>
      <w:r>
        <w:t xml:space="preserve"> produces the summary report and detection tables from the scored corpus, and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the manuscript's numbers are drawn. Transcription from that file into the manuscript tables is manual, which is a real gap and not a formality: an audit of this manuscript found a p-value in Table 6 that had been copied from a superseded report rather than from </w:t>
      </w:r>
      <w:r>
        <w:rPr>
          <w:rFonts w:ascii="Consolas" w:cs="Consolas" w:eastAsia="Consolas" w:hAnsi="Consolas"/>
          <w:sz w:val="18"/>
          <w:szCs w:val="18"/>
        </w:rPr>
        <w:t xml:space="preserve">numbers.json</w:t>
      </w:r>
      <w:r>
        <w:t xml:space="preserve">, and printing it at three decimals had collapsed two values that differ by a factor of four. A regime gate refuses to produce any report when the active configuration does not match the sealed run configuration, and </w:t>
      </w:r>
      <w:r>
        <w:rPr>
          <w:rFonts w:ascii="Consolas" w:cs="Consolas" w:eastAsia="Consolas" w:hAnsi="Consolas"/>
          <w:sz w:val="18"/>
          <w:szCs w:val="18"/>
        </w:rPr>
        <w:t xml:space="preserve">pilot/dev_tutarlilik_kapisi.py</w:t>
      </w:r>
      <w:r>
        <w:t xml:space="preserve"> fails the release if a withdrawn quantity reappears in a generated artifact, if any cell of Table 5 or Table 6 diverges from </w:t>
      </w:r>
      <w:r>
        <w:rPr>
          <w:rFonts w:ascii="Consolas" w:cs="Consolas" w:eastAsia="Consolas" w:hAnsi="Consolas"/>
          <w:sz w:val="18"/>
          <w:szCs w:val="18"/>
        </w:rPr>
        <w:t xml:space="preserve">numbers.json</w:t>
      </w:r>
      <w:r>
        <w:t xml:space="preserve">, or if the release identifier is not the same in every submission file. Each of those three checks exists because the corresponding error had already occurred; the verdict words in the two tables are English renderings of the generator's labels and remain outside the gate's coverage. Because the experiments span two environments, a local machine and a university HPC container, the environment layer imports the scientific code rather than forking it, and a content hash over the scientific sources is recorded with each run so both environments can be verified to execute identical code.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returned token-identical repeated generations.</w:t>
      </w:r>
    </w:p>
    <w:p>
      <w:pPr>
        <w:spacing w:after="120" w:line="276"/>
        <w:jc w:val="both"/>
      </w:pPr>
      <w:r>
        <w:t xml:space="preserve">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generation precision. Model-free is not device-independent, and our own measurement contradicts the stronger reading: SynthID's key stream is device-class-dependent, so text scored on the wrong device class collapses to chance, while scoring on the generation device class reproduces the shipped scores bit-exactly (Section 6). The S1 corpus is reproducible by construction, since each window records its page identifier and dump version, so the exact windows can be re-fetched deterministically. Pinned versions, sealed hashes and the pre-registration commits are listed under Data, Material and/or Code availability.</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No funds, grants or other support were received for this work. The commercial API charges reported in Sections 3.2 and 3.5 (USD 17.704 and USD 7.021) were met from the author's own resources. Generation and detection ran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implementations are evaluated here, in several cases critically. This work is a research fork of MarkLLM (Apache-2.0); its developers were not consulted and did not review the manuscript.</w:t>
      </w:r>
    </w:p>
    <w:p>
      <w:pPr>
        <w:spacing w:after="120" w:line="276"/>
        <w:jc w:val="both"/>
      </w:pPr>
      <w:r>
        <w:t xml:space="preserve">Two facts are recorded for transparency although they are not competing interests. Two components ran on metered commercial APIs at list prices, the external laundering corpus through Anthropic's API and the Claude Opus 5 judge; these are arm's-length purchases, reported as measurements because attack cost is part of the threat model, and no vendor funded, reviewed or was consulted about this work. And one model occupies two roles: Claude Opus 5 both produces the </w:t>
      </w:r>
      <w:r>
        <w:rPr>
          <w:rFonts w:ascii="Consolas" w:cs="Consolas" w:eastAsia="Consolas" w:hAnsi="Consolas"/>
          <w:sz w:val="18"/>
          <w:szCs w:val="18"/>
        </w:rPr>
        <w:t xml:space="preserve">launder_api</w:t>
      </w:r>
      <w:r>
        <w:t xml:space="preserve"> texts and serves as one judge. That conflict is internal to the protocol and the pre-registration at commit </w:t>
      </w:r>
      <w:r>
        <w:rPr>
          <w:rFonts w:ascii="Consolas" w:cs="Consolas" w:eastAsia="Consolas" w:hAnsi="Consolas"/>
          <w:sz w:val="18"/>
          <w:szCs w:val="18"/>
        </w:rPr>
        <w:t xml:space="preserve">cbcb988</w:t>
      </w:r>
      <w:r>
        <w:t xml:space="preserve"> addressed it before any verdict was read; Section 4.4 reports the conflicted cell and discards rather than interprets it.</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The human-text baseline is published text, not participant data: the 4,000 windows of Study S1 are verbatim excerpts from public Wikimedia projects released under CC BY-SA 3.0 or later and GFDL, nobody was recruited, contacted, observed or profiled, no personal data was collected, and the only author-related information retained is the page identifier that makes the licence-required attribution link constructible. The LLM judges of Study S2 are measurement instruments, not participants: a language model has no welfare interests and cannot consent or be withdrawn, and its outputs are instrument readings, validated as such by the calibration and reliability provisions of Section 3.5.</w:t>
      </w:r>
    </w:p>
    <w:p>
      <w:pPr>
        <w:spacing w:after="120" w:line="276"/>
        <w:jc w:val="both"/>
      </w:pPr>
      <w:r>
        <w:t xml:space="preserve">On dual use, the paper reports a working attack that degrades all three schemes while preserving meaning, and the author judges publication responsible. The attack needs no key, no knowledge of the scheme and no privileged access, so it is already available to any adversary and publication confers no new capability; what publication creates is a measurement defenders can act on, since the recalibration of Section 5.1 is useless to an operator who does not know the size of the effect. The attacked texts are released so countermeasures can be tested on the same material.</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w:t>
      </w:r>
    </w:p>
    <w:p>
      <w:pPr>
        <w:pStyle w:val="Heading2"/>
        <w:spacing w:after="120" w:before="220"/>
      </w:pPr>
      <w:r>
        <w:rPr>
          <w:b/>
          <w:bCs/>
          <w:sz w:val="22"/>
          <w:szCs w:val="22"/>
        </w:rPr>
        <w:t xml:space="preserve">Consent to publish</w:t>
      </w:r>
    </w:p>
    <w:p>
      <w:pPr>
        <w:spacing w:after="120" w:line="276"/>
        <w:jc w:val="both"/>
      </w:pPr>
      <w:r>
        <w:t xml:space="preserve">Not applicable: the study contains no data from identifiable individuals.</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v1.6.0-paper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deliberately: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v1.6.0-paper</w:t>
      </w:r>
      <w:r>
        <w:t xml:space="preserve">. Five earlier releases (10.5281/zenodo.22168553, 22212071, 22230948, 22231200 and 22249519) predate corrections described in Sections 3.3 and 4.2, the condensation, the recalibrated interval of Table 5, the relabelling of Table 5 as an exploratory post-selection contrast and the corresponding scope statement on Table 6, or the correction of a Table 6 p-value that had been copied from a superseded report; they are superseded, and we record them here rather than deleting them,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What this guarantees is bounded, and we state the bound rather than letting the term carry more weight than the evidence supports.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deliberately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precisely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the number pipeline and its release gate are described in Section 7, every number originates in that pipeline, and the release gate compares the two inferential tables against it cell by cell. Section 7 also states the residual gap, that transcription into the tables is manual and that this gap has produced an error that was caught and corrected.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1.6.0-paper) [Computer software]. Zenodo. https://doi.org/10.5281/zenodo.22168552</w:t>
      </w:r>
    </w:p>
    <w:p>
      <w:pPr>
        <w:spacing w:after="100" w:line="276"/>
        <w:ind w:left="480" w:hanging="480"/>
        <w:jc w:val="left"/>
      </w:pPr>
      <w:r>
        <w:t xml:space="preserve">Chen, R., Wu, Y., Guo, J., &amp; Huang, H. (2025). De-mark: Watermark removal in large language models. In </w:t>
      </w:r>
      <w:r>
        <w:rPr>
          <w:i/>
          <w:iCs/>
        </w:rPr>
        <w:t xml:space="preserve">Proceedings of the 42nd International Conference on Machine Learning</w:t>
      </w:r>
      <w:r>
        <w:t xml:space="preserve"> (Proceedings of Machine Learning Research, Vol. 267, pp. 9316–9333). PMLR. https://proceedings.mlr.press/v267/chen25bq.html</w:t>
      </w:r>
    </w:p>
    <w:p>
      <w:pPr>
        <w:spacing w:after="100" w:line="276"/>
        <w:ind w:left="480" w:hanging="480"/>
        <w:jc w:val="left"/>
      </w:pPr>
      <w:r>
        <w:t xml:space="preserve">Çöltekin, Ç., Doğruöz, A. S., &amp; Çetinoğlu, Ö. (2023). Resources for Turkish natural language processing: A critical survey. </w:t>
      </w:r>
      <w:r>
        <w:rPr>
          <w:i/>
          <w:iCs/>
        </w:rPr>
        <w:t xml:space="preserve">Language Resources and Evaluation, 57</w:t>
      </w:r>
      <w:r>
        <w:t xml:space="preserve">(1), 449–488. https://doi.org/10.1007/s10579-022-09605-4</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2026-09-02T13:03:20.376Z</dcterms:created>
  <dcterms:modified xsi:type="dcterms:W3CDTF">2026-09-02T13:03:20.380Z</dcterms:modified>
</cp:coreProperties>
</file>

<file path=docProps/custom.xml><?xml version="1.0" encoding="utf-8"?>
<Properties xmlns="http://schemas.openxmlformats.org/officeDocument/2006/custom-properties" xmlns:vt="http://schemas.openxmlformats.org/officeDocument/2006/docPropsVTypes"/>
</file>