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evaluated predominantly on English. We measure three schemes (KGW, EXP, SynthID) on Turkish with MarkLLM and Qwen3-14B: 384 generated texts under ten removal attacks, a pre-registered false-positive study on 4,000 windows of human-written encyclopedic and older literary prose, and a two-judge meaning-preservation study. First, KGW's detector is miscalibrated on that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we detect no difference. Turkish contributes exposure, not mechanism: its subword fertility doubles the tokens a given reading length becomes, and inflation grows with tokens scored. Second, the detector flagging the fewest human windows is the most fragile: at its shipped threshold SynthID flags none of 1,500 against KGW's 3 and EXP's 13, yet loses the most AUROC under attack. With three schemes this is an observed pattern, not a trade-off. Third, laundering through an external LLM is the only attack degrading detection for all three schemes while LLM judges rated meaning preserved, though only KGW-arm pairs were judged. A planned morphological attack did not fire; we report its coverage and release corpus, scores and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and its margin descriptively, attaching no p-value or confidence bound, and Section 3.3 explains which three inferential treatments we withdrew and why; and we report the full realized false-positive table rather than assuming that a threshold calibrated on clean negatives keeps its nominal rate under attack.</w:t>
      </w:r>
    </w:p>
    <w:p>
      <w:pPr>
        <w:spacing w:after="120" w:line="276"/>
        <w:jc w:val="both"/>
      </w:pPr>
      <w:r>
        <w:t xml:space="preserve">Three findings follow, and because each is bounded in a different way the contribution list below states each with its own scope. The headline is a calibration failure on human Turkish: the KGW null standard deviation is 1.479 against a theoretical 1, and the shipped z = 4 threshold flags 3 of 1,500 excerpts, roughly 63 times nominal. Two of the three pre-registered S1 hypotheses are confirmed; the third, which attributed the inflation to Turkish rather than English, does not survive a length control we added after pre-registration and report in full, so Turkish worsens a failure common to both languages instead of creating a Turkish-specific one.</w:t>
      </w:r>
    </w:p>
    <w:p>
      <w:pPr>
        <w:spacing w:after="120" w:line="276"/>
        <w:jc w:val="both"/>
      </w:pPr>
      <w:r>
        <w:t xml:space="preserve">We also report a negative result plainly, because the study was originally motivated by the conjecture that Turkish morphology would itself furnish a meaning-preserving removal attack. It does not, on this corpus: the transforms target progressive -(I)yor forms that the formal register the generator produces rarely contains, so coverage is too low to move detection at all. Section 6 gives the edit counts, the surviving v0 slope and the retracted v1 slope.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detector with the lowest human-text flag rate is the most fragile.</w:t>
      </w:r>
      <w:r>
        <w:t xml:space="preserve"> At its own shipped threshold SynthID falsely flags none of the 1,500 human Turkish windows, against 3 for KGW and 13 for EXP, but it takes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descriptively, with no p-value attached;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and WaterPark (Liang et al., 2025) assembles ten watermarkers against twelve attacks in one platform. All three are cross-scheme and English-centred, and all three calibrate against model-generated negatives. What we add is orthogonal to their axes: a human-written negative distribution in a language none of them covers, together with register, token-length and watermark-key controls on that distribution. Our contribution is therefore language- and negative-distribution-specific, not a more general benchmark. It is worth being explicit about what is </w:t>
      </w:r>
      <w:r>
        <w:rPr>
          <w:i/>
          <w:iCs/>
        </w:rPr>
        <w:t xml:space="preserve">not</w:t>
      </w:r>
      <w:r>
        <w:t xml:space="preserve"> new here, because the boundary is easy to overstate. External rewriting, black-box removal, translation-based removal and character-level attacks all have direct antecedents (Section 2, below), and so does the use of Turkish morphology to manipulate a watermark. TR-WM-EVAL contributes a documented Turkish evaluation resource that combines human negatives at deployment length, a measurement of whether model-calibrated thresholds transfer to them, ten post-generation transformations, prompt-cluster-aware inference, and per-path licensing documentation, for three tested watermark configurations.</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Every attack family we run has an antecedent there, and none of them originates here. Removal without knowledge of the scheme is established: B⁴ formulates black-box scrubbing as a constrained optimisation over a watermark distribution and a fidelity distribution, assuming knowledge of neither the watermark type nor its hyperparameters (Huang et al., 2025), and De-mark removes n-gram watermarks by probing the model with queries to recover the red–green partition (Chen et al., 2025). Our launder_api is a far cruder member of that family: a single rewriting pass, with no optimisation and no probing. Translation-based removal is likewise established, both as round-trip translation (He et al., 2024) and as cross-lingual summarisation (Ganesan, 2025). So is the character-level family our diacritic-stripping attacks belong to: Zhang et al. (2026) show that character-level edits such as typos, swaps and homoglyphs are disproportionately effective because they disrupt tokenization, so a single edit shifts many tokens at once. What is specific to Turkish is not the mechanism but its ecology – writing ç, ğ, ı, ö, ş, ü as ASCII is ordinary keyboard practice rather than an adversarial act, so the perturbation arrives in ordinary text at rates an attack model would not predict. What we contribute on this axis is therefore not a new attack but a measurement of known attack families on a language where their linguistic preconditions differ, under a pre-registered decision rule that requires meaning preservation and not only detection loss, and with self-laundering separated from laundering through an external model.</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also a language whose resource landscape has been surveyed critically: Çöltekin et al. (2023) catalogue the available corpora and lexical resources and document persistent gaps in accessibility, licensing and register coverage, which is part of why we release the evaluation material here as a documented resource rather than only reporting measurements from it.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Turkish morphology has in fact already been used to carry a watermark rather than to remove one. Meral et al. (2009), working on Turkish at Boğaziçi University, embed a watermark in natural-language text through morphosyntactic alteration, and their design turns on the same property we exploit: an agglutinative language affords many surface forms that leave the content intact. Their work long predates decoding-time statistical watermarking and pursues the opposite operation – they alter morphology to insert a signal, we alter it to strip one – but it is the closest linguistic antecedent to our morphological attack, and it is worth stating plainly that using Turkish morphology to manipulate a watermark is not new here. Morphological analysis for Turkish is available through the zeyrek analyzer (Bulat, 2022), an alpha-stage partial port of Zemberek, which we use to build that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For these cells we report the separation descriptively and attach no p-value and no confidence bound (Table 3): the count of prompt clusters that separate completely, whether separation also holds globally, and the width of the gap in units of the clean-negative standard deviation. In all eleven cells every one of the 24 clusters separates, and the lowest watermarked statistic exceeds the highest of the 96 clean negatives. We report the margin because it differs by nearly two orders of magnitude across schemes, and presenting the cells as interchangeable would obscure that: it is 53.23 negative standard deviations for EXP on clean text but only 0.74 for KGW, so KGW's perfect separation is far more precarious than EXP's even though both round to 1.000.</w:t>
      </w:r>
    </w:p>
    <w:p>
      <w:pPr>
        <w:spacing w:after="120" w:line="276"/>
        <w:jc w:val="both"/>
      </w:pPr>
      <w:r>
        <w:t xml:space="preserve">Three successive inferential treatments of these cells were withdrawn during preparation, and the rule above is what survives. A one-sided Clopper–Pearson bound of 0.883 was withdrawn because Clopper–Pearson bounds the parameter of a binomial proportion whereas AUROC is a pairwise-ranking U-statistic (Bamber, 1975), so a cluster-level event probability is neither equal to nor a lower bound on the population AUROC. A within-prompt label-exchangeability permutation giving 10⁻⁴⁴·³ was withdrawn because exchangeability is not defensible for a scheme whose four seeds are deterministic. A prompt-level sign test giving 2⁻²⁴ was withdrawn because its 0.5 null is not derived from the design and because all 24 outcomes are compared against the same data-dependent comparator, the maximum of the pooled clean negatives, so they share a common random component and cannot be multiplied. A valid test here would have to permute labels at a unit whose exchangeability can be argued and recompute the comparator inside every permutation; we did not run one, and prefer a strong description to a p-value we cannot defend. The full derivation of each withdrawal is in the repository audit note </w:t>
      </w:r>
      <w:r>
        <w:rPr>
          <w:rFonts w:ascii="Consolas" w:cs="Consolas" w:eastAsia="Consolas" w:hAnsi="Consolas"/>
          <w:sz w:val="18"/>
          <w:szCs w:val="18"/>
        </w:rPr>
        <w:t xml:space="preserve">DENETIM_NOTU_geri_cekilen_cikarimlar.md</w:t>
      </w:r>
      <w:r>
        <w:t xml:space="preserve">, and a build-time check fails the release if any of these quantities reappears in a generated artifact.</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The two conditions carried into the focused comparisons, rtt and launder_api, were chosen after the aggregate attack ranking of Table 4 was inspected, not before it, and we say so rather than letting "the two strongest attacks" read as a pre-specified choice. What was fixed before the per-scheme results were seen is the test family built on them. Within each scheme, rtt and launder_api are compared on the same unit: the per-prompt detection rate at that scheme's own clean-calibrated threshold, with Bonferroni correction across the three schemes (α = 0.05/3 ≈ 0.0167). Because each rate is computed over four seeds it can take only five values, so ties and exactly-zero differences are common (6 to 11 of 24 pairs, depending on the scheme). We therefore report a two-sided exact paired sign-flip permutation test as the primary p-value, conditional on within-prompt exchangeability of the two attack outcomes. We state that as an assumption rather than a design guarantee: the two conditions are substantively different transformations, not randomly assigned labels, so exchangeability is a modelling assumption about the null and not something randomisation delivers. What the pairing does give us, and what the withdrawn test of the degenerate cells lacked, is a genuine matched unit – swapping the two conditions within a prompt maps exactly onto flipping the sign of that prompt's difference – and a comparator that is invariant to the swap. Alongside it we report a Wilcoxon signed-rank test using Pratt's convention, which ranks zero differences rather than discarding them. We also report the mean rate difference with a prompt-clustered bootstrap interval, because a p-value alone does not convey the size of the effect; that interval resamples prompt clusters jointly across the clean negatives and both attack arms and re-derives the threshold inside every replicate, so it carries the uncertainty of the calibration sample. The permutation p-value remains conditional on the observed calibration sample. An earlier version of this comparison ran on the per-prompt mean raw statistic instead. That test is internally valid – within a scheme the scale is fixed – but it estimates mean detector-score displacement, not the change in detection at the operating threshold that the surrounding text and Table 5 describe; correcting the unit changes which scheme survives correction.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its margin for these cells, descriptively and with no p-value,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and margin, descriptively and with no p-value or confidence bound, for the reasons given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against the clean condition, averaged over schemes. Two dominate: external laundering at 0.158 and round-trip translation at 0.091. The diacritic family produces small but non-zero drops, self-paraphrase attacks are near zero, and the two purely morphological attacks drop exactly 0.000, a negative result analyzed in Section 6. The instructive contrast is within the laundering pair: routed through the generator itself the attack is nearly harmless (0.008), while the same operation through an external model is the strongest observed, taking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margin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and rtt to 0.594, 0.792 and 0.312 (Table 5). These are small-sample estimates, and their prompt-clustered intervals are wide, spanning [0.198, 0.729] for KGW under launder_api and [0.073, 0.385] for SynthID; the ordering among schemes at a fixed attack should therefore not be read from these point values, and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on per-prompt detection rates at each scheme's clean-calibrated threshold (n = 24 prompts; row-level tests would violate the clustering structure identified above). The direction is consistent in all three schemes: the mean per-prompt detection rate is lower under launder_api, by 0.167 for KGW, 0.302 for EXP and 0.063 for SynthID. Only EXP survives Bonferroni correction across the three schemes (two-sided exact sign-flip permutation p = 0.012 against α = 0.0167); KGW is nominally significant but does not survive it (p = 0.024), and SynthID is far from it (p = 0.415). Under the within-prompt exchangeability assumption of Section 3.3, then, EXP shows evidence of a lower detection rate under launder_api than under rtt after correction; the direction is the same in all three schemes, and neither KGW nor SynthID is individually significant once corrected. The marginal, uncorrected 95% interval for KGW's mean rate difference excludes zero, [−0.271, −0.052], which is not a contradiction: a marginal interval and a Bonferroni-corrected test at α = 0.0167 control different error rates, and we report both rather than the more favourable one.</w:t>
      </w:r>
    </w:p>
    <w:p>
      <w:pPr>
        <w:spacing w:after="140" w:before="60"/>
        <w:jc w:val="left"/>
      </w:pPr>
      <w:r>
        <w:rPr>
          <w:b/>
          <w:bCs/>
          <w:sz w:val="17"/>
          <w:szCs w:val="17"/>
        </w:rPr>
        <w:t xml:space="preserve">Table 5.</w:t>
      </w:r>
      <w:r>
        <w:rPr>
          <w:sz w:val="17"/>
          <w:szCs w:val="17"/>
        </w:rPr>
        <w:t xml:space="preserve"> Prompt-level paired comparison of launder_api vs. rtt on per-prompt detection rates at the clean-calibrated threshold (n = 24 prompts per scheme; Bonferroni over 3 schemes, α = 0.05/3 ≈ 0.0167; n.s. = not significant). Δ is the mean per-prompt rate difference (launder_api − rtt; negative = laundering more destructive) with its marginal, uncorrected prompt-clustered bootstrap 95% CI, which resamples clusters jointly across the clean negatives and both attack arms and re-derives the threshold in every replicate. Because a rate over four seeds takes only five values, "non-zero" gives the number of prompt pairs with a non-zero difference. "TPR laund." is the detection rate under launder_api; "Perm. p" is the two-sided exact paired sign-flip permutation test over the non-zero pairs, conditional on the observed calibration sample; "Pratt p" is the Wilcoxon signed-rank test under Pratt's convention, which ranks zero differences rather than discarding them.</w:t>
      </w:r>
    </w:p>
    <w:tbl>
      <w:tblPr>
        <w:tblW w:type="dxa" w:w="9360"/>
        <w:tblBorders>
          <w:top w:val="single" w:color="444444" w:sz="6"/>
          <w:left w:val="none"/>
          <w:bottom w:val="single" w:color="444444" w:sz="6"/>
          <w:right w:val="none"/>
          <w:insideH w:val="single" w:color="DDE1DE" w:sz="2"/>
          <w:insideV w:val="none"/>
        </w:tblBorders>
      </w:tblPr>
      <w:tblGrid>
        <w:gridCol w:w="2059"/>
        <w:gridCol w:w="1043"/>
        <w:gridCol w:w="1043"/>
        <w:gridCol w:w="1043"/>
        <w:gridCol w:w="1043"/>
        <w:gridCol w:w="1043"/>
        <w:gridCol w:w="1043"/>
        <w:gridCol w:w="1043"/>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laund.</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Δ [95% CI]</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Non-zero</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Perm. p</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Pratt p</w:t>
            </w:r>
          </w:p>
        </w:tc>
        <w:tc>
          <w:tcPr>
            <w:tcW w:type="dxa" w:w="1043"/>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043"/>
            <w:tcMar>
              <w:top w:type="dxa" w:w="60"/>
              <w:left w:type="dxa" w:w="100"/>
              <w:bottom w:type="dxa" w:w="60"/>
              <w:right w:type="dxa" w:w="100"/>
            </w:tcMar>
          </w:tcPr>
          <w:p>
            <w:pPr>
              <w:spacing w:after="0"/>
              <w:jc w:val="right"/>
            </w:pPr>
            <w:r>
              <w:rPr>
                <w:sz w:val="17"/>
                <w:szCs w:val="17"/>
              </w:rPr>
              <w:t xml:space="preserve">0.594</w:t>
            </w:r>
          </w:p>
        </w:tc>
        <w:tc>
          <w:tcPr>
            <w:tcW w:type="dxa" w:w="1043"/>
            <w:tcMar>
              <w:top w:type="dxa" w:w="60"/>
              <w:left w:type="dxa" w:w="100"/>
              <w:bottom w:type="dxa" w:w="60"/>
              <w:right w:type="dxa" w:w="100"/>
            </w:tcMar>
          </w:tcPr>
          <w:p>
            <w:pPr>
              <w:spacing w:after="0"/>
              <w:jc w:val="right"/>
            </w:pPr>
            <w:r>
              <w:rPr>
                <w:sz w:val="17"/>
                <w:szCs w:val="17"/>
              </w:rPr>
              <w:t xml:space="preserve">0.427</w:t>
            </w:r>
          </w:p>
        </w:tc>
        <w:tc>
          <w:tcPr>
            <w:tcW w:type="dxa" w:w="1043"/>
            <w:tcMar>
              <w:top w:type="dxa" w:w="60"/>
              <w:left w:type="dxa" w:w="100"/>
              <w:bottom w:type="dxa" w:w="60"/>
              <w:right w:type="dxa" w:w="100"/>
            </w:tcMar>
          </w:tcPr>
          <w:p>
            <w:pPr>
              <w:spacing w:after="0"/>
              <w:jc w:val="right"/>
            </w:pPr>
            <w:r>
              <w:rPr>
                <w:sz w:val="17"/>
                <w:szCs w:val="17"/>
              </w:rPr>
              <w:t xml:space="preserve">−0.167 [−0.271, −0.052]</w:t>
            </w:r>
          </w:p>
        </w:tc>
        <w:tc>
          <w:tcPr>
            <w:tcW w:type="dxa" w:w="1043"/>
            <w:tcMar>
              <w:top w:type="dxa" w:w="60"/>
              <w:left w:type="dxa" w:w="100"/>
              <w:bottom w:type="dxa" w:w="60"/>
              <w:right w:type="dxa" w:w="100"/>
            </w:tcMar>
          </w:tcPr>
          <w:p>
            <w:pPr>
              <w:spacing w:after="0"/>
              <w:jc w:val="right"/>
            </w:pPr>
            <w:r>
              <w:rPr>
                <w:sz w:val="17"/>
                <w:szCs w:val="17"/>
              </w:rPr>
              <w:t xml:space="preserve">13/24</w:t>
            </w:r>
          </w:p>
        </w:tc>
        <w:tc>
          <w:tcPr>
            <w:tcW w:type="dxa" w:w="1043"/>
            <w:tcMar>
              <w:top w:type="dxa" w:w="60"/>
              <w:left w:type="dxa" w:w="100"/>
              <w:bottom w:type="dxa" w:w="60"/>
              <w:right w:type="dxa" w:w="100"/>
            </w:tcMar>
          </w:tcPr>
          <w:p>
            <w:pPr>
              <w:spacing w:after="0"/>
              <w:jc w:val="right"/>
            </w:pPr>
            <w:r>
              <w:rPr>
                <w:sz w:val="17"/>
                <w:szCs w:val="17"/>
              </w:rPr>
              <w:t xml:space="preserve">0.024</w:t>
            </w:r>
          </w:p>
        </w:tc>
        <w:tc>
          <w:tcPr>
            <w:tcW w:type="dxa" w:w="1043"/>
            <w:tcMar>
              <w:top w:type="dxa" w:w="60"/>
              <w:left w:type="dxa" w:w="100"/>
              <w:bottom w:type="dxa" w:w="60"/>
              <w:right w:type="dxa" w:w="100"/>
            </w:tcMar>
          </w:tcPr>
          <w:p>
            <w:pPr>
              <w:spacing w:after="0"/>
              <w:jc w:val="right"/>
            </w:pPr>
            <w:r>
              <w:rPr>
                <w:sz w:val="17"/>
                <w:szCs w:val="17"/>
              </w:rPr>
              <w:t xml:space="preserve">0.029</w:t>
            </w:r>
          </w:p>
        </w:tc>
        <w:tc>
          <w:tcPr>
            <w:tcW w:type="dxa" w:w="1043"/>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043"/>
            <w:tcMar>
              <w:top w:type="dxa" w:w="60"/>
              <w:left w:type="dxa" w:w="100"/>
              <w:bottom w:type="dxa" w:w="60"/>
              <w:right w:type="dxa" w:w="100"/>
            </w:tcMar>
          </w:tcPr>
          <w:p>
            <w:pPr>
              <w:spacing w:after="0"/>
              <w:jc w:val="right"/>
            </w:pPr>
            <w:r>
              <w:rPr>
                <w:sz w:val="17"/>
                <w:szCs w:val="17"/>
              </w:rPr>
              <w:t xml:space="preserve">0.792</w:t>
            </w:r>
          </w:p>
        </w:tc>
        <w:tc>
          <w:tcPr>
            <w:tcW w:type="dxa" w:w="1043"/>
            <w:tcMar>
              <w:top w:type="dxa" w:w="60"/>
              <w:left w:type="dxa" w:w="100"/>
              <w:bottom w:type="dxa" w:w="60"/>
              <w:right w:type="dxa" w:w="100"/>
            </w:tcMar>
          </w:tcPr>
          <w:p>
            <w:pPr>
              <w:spacing w:after="0"/>
              <w:jc w:val="right"/>
            </w:pPr>
            <w:r>
              <w:rPr>
                <w:sz w:val="17"/>
                <w:szCs w:val="17"/>
              </w:rPr>
              <w:t xml:space="preserve">0.490</w:t>
            </w:r>
          </w:p>
        </w:tc>
        <w:tc>
          <w:tcPr>
            <w:tcW w:type="dxa" w:w="1043"/>
            <w:tcMar>
              <w:top w:type="dxa" w:w="60"/>
              <w:left w:type="dxa" w:w="100"/>
              <w:bottom w:type="dxa" w:w="60"/>
              <w:right w:type="dxa" w:w="100"/>
            </w:tcMar>
          </w:tcPr>
          <w:p>
            <w:pPr>
              <w:spacing w:after="0"/>
              <w:jc w:val="right"/>
            </w:pPr>
            <w:r>
              <w:rPr>
                <w:sz w:val="17"/>
                <w:szCs w:val="17"/>
              </w:rPr>
              <w:t xml:space="preserve">−0.302 [−0.510, −0.115]</w:t>
            </w:r>
          </w:p>
        </w:tc>
        <w:tc>
          <w:tcPr>
            <w:tcW w:type="dxa" w:w="1043"/>
            <w:tcMar>
              <w:top w:type="dxa" w:w="60"/>
              <w:left w:type="dxa" w:w="100"/>
              <w:bottom w:type="dxa" w:w="60"/>
              <w:right w:type="dxa" w:w="100"/>
            </w:tcMar>
          </w:tcPr>
          <w:p>
            <w:pPr>
              <w:spacing w:after="0"/>
              <w:jc w:val="right"/>
            </w:pPr>
            <w:r>
              <w:rPr>
                <w:sz w:val="17"/>
                <w:szCs w:val="17"/>
              </w:rPr>
              <w:t xml:space="preserve">18/24</w:t>
            </w:r>
          </w:p>
        </w:tc>
        <w:tc>
          <w:tcPr>
            <w:tcW w:type="dxa" w:w="1043"/>
            <w:tcMar>
              <w:top w:type="dxa" w:w="60"/>
              <w:left w:type="dxa" w:w="100"/>
              <w:bottom w:type="dxa" w:w="60"/>
              <w:right w:type="dxa" w:w="100"/>
            </w:tcMar>
          </w:tcPr>
          <w:p>
            <w:pPr>
              <w:spacing w:after="0"/>
              <w:jc w:val="right"/>
            </w:pPr>
            <w:r>
              <w:rPr>
                <w:sz w:val="17"/>
                <w:szCs w:val="17"/>
              </w:rPr>
              <w:t xml:space="preserve">0.012</w:t>
            </w:r>
          </w:p>
        </w:tc>
        <w:tc>
          <w:tcPr>
            <w:tcW w:type="dxa" w:w="1043"/>
            <w:tcMar>
              <w:top w:type="dxa" w:w="60"/>
              <w:left w:type="dxa" w:w="100"/>
              <w:bottom w:type="dxa" w:w="60"/>
              <w:right w:type="dxa" w:w="100"/>
            </w:tcMar>
          </w:tcPr>
          <w:p>
            <w:pPr>
              <w:spacing w:after="0"/>
              <w:jc w:val="right"/>
            </w:pPr>
            <w:r>
              <w:rPr>
                <w:sz w:val="17"/>
                <w:szCs w:val="17"/>
              </w:rPr>
              <w:t xml:space="preserve">0.011</w:t>
            </w:r>
          </w:p>
        </w:tc>
        <w:tc>
          <w:tcPr>
            <w:tcW w:type="dxa" w:w="1043"/>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043"/>
            <w:tcMar>
              <w:top w:type="dxa" w:w="60"/>
              <w:left w:type="dxa" w:w="100"/>
              <w:bottom w:type="dxa" w:w="60"/>
              <w:right w:type="dxa" w:w="100"/>
            </w:tcMar>
          </w:tcPr>
          <w:p>
            <w:pPr>
              <w:spacing w:after="0"/>
              <w:jc w:val="right"/>
            </w:pPr>
            <w:r>
              <w:rPr>
                <w:sz w:val="17"/>
                <w:szCs w:val="17"/>
              </w:rPr>
              <w:t xml:space="preserve">0.312</w:t>
            </w:r>
          </w:p>
        </w:tc>
        <w:tc>
          <w:tcPr>
            <w:tcW w:type="dxa" w:w="1043"/>
            <w:tcMar>
              <w:top w:type="dxa" w:w="60"/>
              <w:left w:type="dxa" w:w="100"/>
              <w:bottom w:type="dxa" w:w="60"/>
              <w:right w:type="dxa" w:w="100"/>
            </w:tcMar>
          </w:tcPr>
          <w:p>
            <w:pPr>
              <w:spacing w:after="0"/>
              <w:jc w:val="right"/>
            </w:pPr>
            <w:r>
              <w:rPr>
                <w:sz w:val="17"/>
                <w:szCs w:val="17"/>
              </w:rPr>
              <w:t xml:space="preserve">0.250</w:t>
            </w:r>
          </w:p>
        </w:tc>
        <w:tc>
          <w:tcPr>
            <w:tcW w:type="dxa" w:w="1043"/>
            <w:tcMar>
              <w:top w:type="dxa" w:w="60"/>
              <w:left w:type="dxa" w:w="100"/>
              <w:bottom w:type="dxa" w:w="60"/>
              <w:right w:type="dxa" w:w="100"/>
            </w:tcMar>
          </w:tcPr>
          <w:p>
            <w:pPr>
              <w:spacing w:after="0"/>
              <w:jc w:val="right"/>
            </w:pPr>
            <w:r>
              <w:rPr>
                <w:sz w:val="17"/>
                <w:szCs w:val="17"/>
              </w:rPr>
              <w:t xml:space="preserve">−0.063 [−0.188, +0.042]</w:t>
            </w:r>
          </w:p>
        </w:tc>
        <w:tc>
          <w:tcPr>
            <w:tcW w:type="dxa" w:w="1043"/>
            <w:tcMar>
              <w:top w:type="dxa" w:w="60"/>
              <w:left w:type="dxa" w:w="100"/>
              <w:bottom w:type="dxa" w:w="60"/>
              <w:right w:type="dxa" w:w="100"/>
            </w:tcMar>
          </w:tcPr>
          <w:p>
            <w:pPr>
              <w:spacing w:after="0"/>
              <w:jc w:val="right"/>
            </w:pPr>
            <w:r>
              <w:rPr>
                <w:sz w:val="17"/>
                <w:szCs w:val="17"/>
              </w:rPr>
              <w:t xml:space="preserve">16/24</w:t>
            </w:r>
          </w:p>
        </w:tc>
        <w:tc>
          <w:tcPr>
            <w:tcW w:type="dxa" w:w="1043"/>
            <w:tcMar>
              <w:top w:type="dxa" w:w="60"/>
              <w:left w:type="dxa" w:w="100"/>
              <w:bottom w:type="dxa" w:w="60"/>
              <w:right w:type="dxa" w:w="100"/>
            </w:tcMar>
          </w:tcPr>
          <w:p>
            <w:pPr>
              <w:spacing w:after="0"/>
              <w:jc w:val="right"/>
            </w:pPr>
            <w:r>
              <w:rPr>
                <w:sz w:val="17"/>
                <w:szCs w:val="17"/>
              </w:rPr>
              <w:t xml:space="preserve">0.415</w:t>
            </w:r>
          </w:p>
        </w:tc>
        <w:tc>
          <w:tcPr>
            <w:tcW w:type="dxa" w:w="1043"/>
            <w:tcMar>
              <w:top w:type="dxa" w:w="60"/>
              <w:left w:type="dxa" w:w="100"/>
              <w:bottom w:type="dxa" w:w="60"/>
              <w:right w:type="dxa" w:w="100"/>
            </w:tcMar>
          </w:tcPr>
          <w:p>
            <w:pPr>
              <w:spacing w:after="0"/>
              <w:jc w:val="right"/>
            </w:pPr>
            <w:r>
              <w:rPr>
                <w:sz w:val="17"/>
                <w:szCs w:val="17"/>
              </w:rPr>
              <w:t xml:space="preserve">0.189</w:t>
            </w:r>
          </w:p>
        </w:tc>
        <w:tc>
          <w:tcPr>
            <w:tcW w:type="dxa" w:w="1043"/>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Holm-corrected) was specified before the per-scheme results were inspected (Section 3.3). SynthID is more fragile than both alternatives under both attacks: all four tests involving SynthID survive Holm correction, with mean rate differences from 0.177 to 0.479 (Table 6).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9147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a theoretical 1, and the largest observed statistic is z = 5.08. Empirically 3 of 1,500 windows exceed z = 4, a rate of 2.0 × 10⁻³ or approximately 63 times nominal; we treat this count-based estimate as primary. A Gaussian fit implies ≈ 96 times nominal, but H1 itself establishes that the Gaussian model is misspecified, so that figure corroborates the order of magnitude and is never the headline.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study runs on one key, the MarkLLM default, and a keyed scheme could owe its null behaviour to that particular partition. Because S1 requires no generation, we rescored all 4,000 windows under eight keys.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we detect no difference between the two languages. H2 as pre-registered attributed the inflation to the language; the data are instead consistent with an exposure pathway running through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scoring 100k multilingual Wikipedia texts under ten master keys. Their decomposition matters for reading ours: part of the gap is the Gaussian approximation itself, which exact tests close, and the residue is what repeated context windows contribute.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are consistent with length rather than morphology carrying the effect, without establishing causal mediation.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The measured inflation puts the realized false-positive rate at roughly 63 times nominal, with an exact interval of 13 to 184 times (Section 4.3), so a Turkish deployment shipping the default accuses human writers at far above the rate the scheme's theory promises (Kirchenbauer et al., 2023), and the eight-key sweep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and exactly the same tail count, and at the matched token budgets we evaluated no statistically detectable difference between the two languages remains, which is a failure to detect a difference on this sample rather than a demonstration of equivalence. What Turkish adds is exposure rather than a different mechanism: its subword fertility is roughly twice that of English, so a document of a given reading length is scored over roughly twice as many tokens, and the inflation grows with tokens scored. A deployment serving Turkish sits further along the same curve, not on a different one. Nemecek et al. (2026) reach the same structural verdict from a wider grid, reporting that cross-lingual disparity is predominantly between typological families rather than idiosyncratic to particular languages, and that every scheme they audit ships a hardcoded threshold targeting a theoretical rate under an IID-token null that multilingual generation does not satisfy. Their prescription, empirical per-deployment calibration, is ours as well; what our measurement adds is the second axis.</w:t>
      </w:r>
    </w:p>
    <w:p>
      <w:pPr>
        <w:spacing w:after="120" w:line="276"/>
        <w:jc w:val="both"/>
      </w:pPr>
      <w:r>
        <w:t xml:space="preserve">That second axis is the negative distribution, not just the language. Thresholds set to 1% FPR on the model's own unwatermarked outputs do not transfer to human text, yielding 7.4% on human Turkish for EXP and 4.1% on human English for SynthID (exploratory, not pre-registered). Model-generated negatives are an inadequate proxy for the human text a deployed detector actually screens, so deployments should calibrate on, and report, the negative distribution of their own language and register. Two remedies for the underlying dependence already exist and we applied neither: Fernandez et al. (2023) score only tokens whose watermark context has not already been seen in the document, and both Fernandez et al. (2023) and Khachaturov et al. (2025) recommend a wider seeding window. We measure the configuration as shipped (</w:t>
      </w:r>
      <w:r>
        <w:rPr>
          <w:rFonts w:ascii="Consolas" w:cs="Consolas" w:eastAsia="Consolas" w:hAnsi="Consolas"/>
          <w:sz w:val="18"/>
          <w:szCs w:val="18"/>
        </w:rPr>
        <w:t xml:space="preserve">prefix_length</w:t>
      </w:r>
      <w:r>
        <w:t xml:space="preserve"> = 1 with z = 4, the MarkLLM defaults; Pan et al., 2024), which is what a deployment inherits unless it knows to change it, so our figure is the cost of that default rather than a bound on the scheme family.</w:t>
      </w:r>
    </w:p>
    <w:p>
      <w:pPr>
        <w:pStyle w:val="Heading2"/>
        <w:spacing w:after="120" w:before="220"/>
      </w:pPr>
      <w:r>
        <w:rPr>
          <w:b/>
          <w:bCs/>
          <w:sz w:val="22"/>
          <w:szCs w:val="22"/>
        </w:rPr>
        <w:t xml:space="preserve">5.2 The scheme with the fewest human-text flags is the most fragile</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systems open to attack and derive fundamental trade-offs among robustness, utility and usability. The pair we measure, attack robustness against the behaviour of the null on unwatermarked text, is not among theirs, and it is the pair a deployment has to price, because one axis governs how often the watermark is missed and the other how often an innocent writer is accused. Since the three detectors report statistics on different scales, the comparable quantity is the realized false-positive rate at each scheme's own shipped threshold, on which SynthID (Dathathri et al., 2024) flags fewest and EXP most (Section 4.3). Yet SynthID is the most fragile under attack: all four Holm-significant prompt-level differences are against it (Table 6), and under laundering its AUROC falls to 0.747 with TPR 0.250. The absolute half of that observation is not new: Han et al. (2025) report SynthID-Text degraded by meaning-preserving attacks including paraphrase and back-translation, and propose hybridizing it with a semantic scheme (Liu et al., 2024). What we add is that the same scheme sits at the opposite extreme on the calibration axis, measured on human text in a language neither line of work covers.</w:t>
      </w:r>
    </w:p>
    <w:p>
      <w:pPr>
        <w:spacing w:after="120" w:line="276"/>
        <w:jc w:val="both"/>
      </w:pPr>
      <w:r>
        <w:t xml:space="preserve">Across these three configurations, then, no scheme dominates on both axes at once, and the one with the lowest observed flag count on our human-text sample is also the easiest to wash out. We state that as a no-dominance pattern in this sample rather than as a trade-off: three schemes cannot establish a frontier, and the pattern is not even monotone across them, since KGW both flags fewer human windows than EXP and resists the attacks better.</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with both judges classifying meaning as preserved in every judged pair drawn from the KGW arm. Its effect on fluency is indeterminate rather than absent: the independent judge's position-flip rate on those pairs was 50.0%, above the pre-registered 30% bound, so no directional fluency conclusion is available in either direction, including the claim that fluency is unharmed (Section 4.4). This is a counterweight to Kirchenbauer et al. (2024), who report that after strong human paraphrase a green-list watermark remains detectable once roughly 800 tokens are observed at a nominal 10⁻⁵ false-positive rate. Our texts exceed that budget and detection still falls to a true-positive rate of 0.427 for KGW and 0.250 for SynthID. Two differences make this a boundary condition rather than a failed replication: their attack paraphrases whereas ours rewrites through a different and external model, and their token budget derives from a nominal 10⁻⁵ rate that Section 4.3 measures to be wrong on human text by one to two orders of magnitude, so the length at which detection becomes trustworthy is itself understated. Nor is it covert truncation, since the median attacked-to-source length ratio is 0.976.</w:t>
      </w:r>
    </w:p>
    <w:p>
      <w:pPr>
        <w:spacing w:after="120" w:line="276"/>
        <w:jc w:val="both"/>
      </w:pPr>
      <w:r>
        <w:t xml:space="preserve">The contrast with self-paraphrase is instructive: asking the watermarking model itself to rewrite its output barely moves detection (mean AUROC drop 0.008 for launder, 0.001 for para), so the attack's power comes from routing text through a different model outside the defender's control, not from paraphrasing as such. It is also cheap and requires no knowledge of the scheme or key, costing USD 17.704 over the whole corpus while degrading all three schemes at once.</w:t>
      </w:r>
    </w:p>
    <w:p>
      <w:pPr>
        <w:spacing w:after="120" w:line="276"/>
        <w:jc w:val="both"/>
      </w:pPr>
      <w:r>
        <w:t xml:space="preserve">We evaluate no defenses. In theory the question is largely settled but not uncontested. Zhang et al. (2024) prove that no strong watermarking scheme survives an attacker holding a quality oracle and a mixing perturbation oracle, and instantiate that attack against the green-list scheme (Kirchenbauer et al., 2023) we test and against the distortion-free family (Kuditipudi et al., 2024), of which we test the Aaronson–Kirchner variant rather than their edit-robust algorithms. Harel-Canada et al. (2025) test the two assumptions that argument rests on and find both fail empirically: mixing is slow, with every perturbed text still retaining traces of its origin after hundreds of edits, and automated quality oracles are unreliable at 77% accuracy, so their random-walk attacks remove watermarks 26% of the time and 10% under human quality review. Our result is not in tension with theirs so much as differently situated: a single pass through a strong external model is not a random walk under a noisy oracle, and we did not measure quality with human raters as they did. Which picture a deployment faces depends on whether the attacker can afford one call to a capable model. What remains open is empirical: how much detection survives which rewrite budget, for which scheme, at which document length and in which language, and whether the paraphrase-oriented schemes of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comes from a single generator, Qwen3-14B (Yang et al., 2025). This was not for lack of trying: five candidates were run through the same pre-registered acceptance gate and only Qwen3-14B passed, the others failing on foreign-script contamination, under-delivery, or failure to terminate (gate records are in the repository). Cross-model replication was therefore attempted and not achieved, and producing acceptable long-form Turkish appears to be a barrier in its own right. Nothing here licenses generalization to other model families, scales or tokenizers; the calibration failure in particular is a property of a scheme–tokenizer–language triple and must be re-measured for any other pairing. The scheme set is bounded the same way: all three schemes perturb or couple the next-token distribution using a key seeded from surface context, and all three run as the toolkit ships them. Schemes designed precisely against paraphrase, SIR (Liu et al., 2024) and SemStamp (Hou et al., 2024), are implemented in MarkLLM and were not evaluated, so the laundering result is a statement about surface-context-seeded schemes at default settings, not about watermarking in general. Generation ran on a single machine and GPU; the determinism test returned token-identical sequences under the pinned stack, but that is a single-environment result, not a portability claim.</w:t>
      </w:r>
    </w:p>
    <w:p>
      <w:pPr>
        <w:spacing w:after="120" w:line="276"/>
        <w:jc w:val="both"/>
      </w:pPr>
      <w:r>
        <w:rPr>
          <w:b/>
          <w:bCs/>
        </w:rPr>
        <w:t xml:space="preserve">Human-text baseline (S1).</w:t>
      </w:r>
      <w:r>
        <w:t xml:space="preserve"> The corpus covers two registers, encyclopedic prose from Wikipedia (Wikimedia Foundation, 2023a) and older official/literary prose from Turkish Wikisource, and the inflation replicates across both (Section 4.3); newspaper, essayistic or conversational Turkish may behave differently. Sample size bounds precision: at n = 1,500 windows per language the design supports order-of-magnitude statements but not finer resolution, which is why the empirical estimate is primary and the Gaussian extrapolation approximate only. The key sweep covers eight keys for S1 only, so every robustness number in Section 4.2 is conditional on the single study key, and the length control was applied to the human-text null, not to the generated corpus.</w:t>
      </w:r>
    </w:p>
    <w:p>
      <w:pPr>
        <w:spacing w:after="120" w:line="276"/>
        <w:jc w:val="both"/>
      </w:pPr>
      <w:r>
        <w:rPr>
          <w:b/>
          <w:bCs/>
        </w:rPr>
        <w:t xml:space="preserve">Detector keys are device-class-bound.</w:t>
      </w:r>
      <w:r>
        <w:t xml:space="preserve"> A SynthID detector instantiated on CPU draws a different pseudo-random key stream than one on CUDA, so watermarked text scored on the wrong device class collapses to chance (mean g-score 0.498 vs. 0.530), while re-scoring on the generation device reproduces the shipped scores bit-exactly. The S1 measurements are unaffected, since no watermark is present there. We limit the claim to what we measured, SynthID across two device classes; it is not a general statement about all three schemes. Any deployment must detect on the same device class as generation, or serialize the key explicitly.</w:t>
      </w:r>
    </w:p>
    <w:p>
      <w:pPr>
        <w:spacing w:after="120" w:line="276"/>
        <w:jc w:val="both"/>
      </w:pPr>
      <w:r>
        <w:rPr>
          <w:b/>
          <w:bCs/>
        </w:rPr>
        <w:t xml:space="preserve">The morphological attack did not fire.</w:t>
      </w:r>
      <w:r>
        <w:t xml:space="preserve"> The attack planned as the central typological probe produced almost no edits: morph averages 1.1 edits per text with 60.4% of texts unchanged, morph_v1 averages 7.5 (4.2% unchanged). The mechanism is a register mismatch, since the transforms target the progressive suffix -(I)yor and the formal expository register the model produces rarely uses it. The detection effect is null (mean AUROC drop 0.000 for both). Where morph did fire (n = 38 texts with non-zero edits) the per-edit slope survives our robustness battery (0.052 z per edit, 95% CI [0.022, 0.071], Spearman ρ = 0.579, p = 0.00014) but is practically tiny: at the observed mean of 2.9 edits it implies about 0.15 z against a matched clean-signal mean of 11.467. The morph_v1 slope is retracted after the same battery, its 95% CI including zero and its sign flipping when the three highest-leverage points are removed. Whether an informal-register corpus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whose deployed version can change without notice. The raw laundered outputs are stored, so every detection score recomputes exactly, but the attack generation itself may not be re-creatable against a future version. Read it as an existence demonstration rather than a stable measurement of a fixed system.</w:t>
      </w:r>
    </w:p>
    <w:p>
      <w:pPr>
        <w:spacing w:after="120" w:line="276"/>
        <w:jc w:val="both"/>
      </w:pPr>
      <w:r>
        <w:rPr>
          <w:b/>
          <w:bCs/>
        </w:rPr>
        <w:t xml:space="preserve">EXP is structurally different.</w:t>
      </w:r>
      <w:r>
        <w:t xml:space="preserve"> The EXP implementation generates a fixed 950 tokens, does not consume the shared sampling arguments, and never stops at EOS; its token-count standard deviation is 1.5 against 178.2 for KGW, 158.4 for SynthID and 101.0 unwatermarked, and its 96 texts are exempt from the termination criterion. Any cross-scheme comparison of text quality is therefore confounded with this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 arm, as the pre-registration fixed, so meaning preservation is measured for attacks on KGW text and carried to the EXP and SynthID rows of Table 11 by assumption. The assumption is not idle: meaning preservation is a property of the (source, rewrite) pair, the sources differ by arm, and cross-scheme quality comparisons are confounded as just noted. Judging the other two arms would cost roughly three US dollars, since the attacked texts already exist, and is the first extension a replication should make. Only four of the ten attacks were judged, and the pre-registered rule counts "partially preserved" as preservation, which is the permissive reading.</w:t>
      </w:r>
    </w:p>
    <w:p>
      <w:pPr>
        <w:spacing w:after="120" w:line="276"/>
        <w:jc w:val="both"/>
      </w:pPr>
      <w:r>
        <w:rPr>
          <w:b/>
          <w:bCs/>
        </w:rPr>
        <w:t xml:space="preserve">Acceptance thresholds are only partly justified.</w:t>
      </w:r>
      <w:r>
        <w:t xml:space="preserve"> Of the pre-fixed thresholds (word count ≥ 300, compliance ≥ 0.75, termination ≥ 0.90, contamination ≤ 0.05), compliance is inherited from the pre-gate criterion but the 0.90 and 0.05 values have no external justification. They were fixed before any corpus data existed, which protects against post-hoc tuning, but no sensitivity analysis was performed.</w:t>
      </w:r>
    </w:p>
    <w:p>
      <w:pPr>
        <w:spacing w:after="120" w:line="276"/>
        <w:jc w:val="both"/>
      </w:pPr>
      <w:r>
        <w:rPr>
          <w:b/>
          <w:bCs/>
        </w:rPr>
        <w:t xml:space="preserve">Implementation-level caveats.</w:t>
      </w:r>
      <w:r>
        <w:t xml:space="preserve"> KGW's effective green-list fraction is 0.499118 rather than the configured γ = 0.5, because the implementation sizes the list from the tokenizer length (151,669) rather than the declared vocabulary size (151,936). Among the candidate models examined here this deviation was specific to the Qwen tokenizer: both rejected candidates have tokenizer lengths equal to their declared vocabulary sizes, giving a deviation of exactly 0. Two of 96 KGW texts and 2 of 96 SynthID texts hit the 1800-token cap and are truncated. In the first run the attention implementation fell back to the transformers default; this was not deliberate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SynthID 9/96, against 2/96 unwatermarked and 0/96 for EXP; 19 of 384 texts overall, 4.9%, under the pre-registered 5% gate). This was noticed after the data were collected, and is recorded as an exploratory replication hypothesis, not a finding.</w:t>
      </w:r>
    </w:p>
    <w:p>
      <w:pPr>
        <w:pStyle w:val="Heading1"/>
        <w:spacing w:after="120" w:before="320"/>
      </w:pPr>
      <w:r>
        <w:rPr>
          <w:b/>
          <w:bCs/>
          <w:sz w:val="26"/>
          <w:szCs w:val="26"/>
        </w:rPr>
        <w:t xml:space="preserve">7 Reproducibility Statement</w:t>
      </w:r>
    </w:p>
    <w:p>
      <w:pPr>
        <w:spacing w:after="120" w:line="276"/>
        <w:jc w:val="both"/>
      </w:pPr>
      <w:r>
        <w:t xml:space="preserve">Every number in this paper is generated from the data by code. </w:t>
      </w:r>
      <w:r>
        <w:rPr>
          <w:rFonts w:ascii="Consolas" w:cs="Consolas" w:eastAsia="Consolas" w:hAnsi="Consolas"/>
          <w:sz w:val="18"/>
          <w:szCs w:val="18"/>
        </w:rPr>
        <w:t xml:space="preserve">pilot/metrics.py</w:t>
      </w:r>
      <w:r>
        <w:t xml:space="preserve"> produces the summary report and detection tables from the scored corpus,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and no number is typed by hand. A regime gate refuses to produce any report when the active configuration does not match the sealed run configuration, and </w:t>
      </w:r>
      <w:r>
        <w:rPr>
          <w:rFonts w:ascii="Consolas" w:cs="Consolas" w:eastAsia="Consolas" w:hAnsi="Consolas"/>
          <w:sz w:val="18"/>
          <w:szCs w:val="18"/>
        </w:rPr>
        <w:t xml:space="preserve">pilot/dev_tutarlilik_kapisi.py</w:t>
      </w:r>
      <w:r>
        <w:t xml:space="preserve"> fails the release if a withdrawn quantity reappears in a generated artifact or if a reported p-value diverges from the one in </w:t>
      </w:r>
      <w:r>
        <w:rPr>
          <w:rFonts w:ascii="Consolas" w:cs="Consolas" w:eastAsia="Consolas" w:hAnsi="Consolas"/>
          <w:sz w:val="18"/>
          <w:szCs w:val="18"/>
        </w:rPr>
        <w:t xml:space="preserve">numbers.json</w:t>
      </w:r>
      <w:r>
        <w:t xml:space="preserve">. Because the experiments span two environments, a local machine and a university HPC container, the environment layer imports the scientific code rather than forking it, and a content hash over the scientific sources is recorded with each run so both environments can be verified to execute identical code.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returned token-identical repeated generations.</w:t>
      </w:r>
    </w:p>
    <w:p>
      <w:pPr>
        <w:spacing w:after="120" w:line="276"/>
        <w:jc w:val="both"/>
      </w:pPr>
      <w:r>
        <w:t xml:space="preserve">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generation precision. Model-free is not device-independent, and our own measurement contradicts the stronger reading: SynthID's key stream is device-class-dependent, so text scored on the wrong device class collapses to chance, while scoring on the generation device class reproduces the shipped scores bit-exactly (Section 6). The S1 corpus is reproducible by construction, since each window records its page identifier and dump version, so the exact windows can be re-fetched deterministically. Pinned versions, sealed hashes and the pre-registration commits are listed under Data, Material and/or Code availability.</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No funds, grants or other support were received for this work. The commercial API charges reported in Sections 3.2 and 3.5 (USD 17.704 and USD 7.021) were met from the author's own resources. Generation and detection ran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this work, and in particular no employment, consultancy, equity, patent, honorarium, advisory or funding relationship with Anthropic, Google DeepMind, Groq, Alibaba/Qwen, or the developers of the MarkLLM toolkit, whose schemes, models and implementations are evaluated here, in several cases critically. This work is a research fork of MarkLLM (Apache-2.0); its developers were not consulted and did not review the manuscript.</w:t>
      </w:r>
    </w:p>
    <w:p>
      <w:pPr>
        <w:spacing w:after="120" w:line="276"/>
        <w:jc w:val="both"/>
      </w:pPr>
      <w:r>
        <w:t xml:space="preserve">Two facts are recorded for transparency although they are not competing interests. Two components ran on metered commercial APIs at list prices, the external laundering corpus through Anthropic's API and the Claude Opus 5 judge; these are arm's-length purchases, reported as measurements because attack cost is part of the threat model, and no vendor funded, reviewed or was consulted about this work. And one model occupies two roles: Claude Opus 5 both produces the </w:t>
      </w:r>
      <w:r>
        <w:rPr>
          <w:rFonts w:ascii="Consolas" w:cs="Consolas" w:eastAsia="Consolas" w:hAnsi="Consolas"/>
          <w:sz w:val="18"/>
          <w:szCs w:val="18"/>
        </w:rPr>
        <w:t xml:space="preserve">launder_api</w:t>
      </w:r>
      <w:r>
        <w:t xml:space="preserve"> texts and serves as one judge. That conflict is internal to the protocol and the pre-registration at commit </w:t>
      </w:r>
      <w:r>
        <w:rPr>
          <w:rFonts w:ascii="Consolas" w:cs="Consolas" w:eastAsia="Consolas" w:hAnsi="Consolas"/>
          <w:sz w:val="18"/>
          <w:szCs w:val="18"/>
        </w:rPr>
        <w:t xml:space="preserve">cbcb988</w:t>
      </w:r>
      <w:r>
        <w:t xml:space="preserve"> addressed it before any verdict was read; Section 4.4 reports the conflicted cell and discards rather than interprets it.</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required no institutional ethics review. The human-text baseline is published text, not participant data: the 4,000 windows of Study S1 are verbatim excerpts from public Wikimedia projects released under CC BY-SA 3.0 or later and GFDL, nobody was recruited, contacted, observed or profiled, no personal data was collected, and the only author-related information retained is the page identifier that makes the licence-required attribution link constructible. The LLM judges of Study S2 are measurement instruments, not participants: a language model has no welfare interests and cannot consent or be withdrawn, and its outputs are instrument readings, validated as such by the calibration and reliability provisions of Section 3.5.</w:t>
      </w:r>
    </w:p>
    <w:p>
      <w:pPr>
        <w:spacing w:after="120" w:line="276"/>
        <w:jc w:val="both"/>
      </w:pPr>
      <w:r>
        <w:t xml:space="preserve">On dual use, the paper reports a working attack that degrades all three schemes while preserving meaning, and the author judges publication responsible. The attack needs no key, no knowledge of the scheme and no privileged access, so it is already available to any adversary and publication confers no new capability; what publication creates is a measurement defenders can act on, since the recalibration of Section 5.1 is useless to an operator who does not know the size of the effect. The attacked texts are released so countermeasures can be tested on the same material.</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w:t>
      </w:r>
    </w:p>
    <w:p>
      <w:pPr>
        <w:pStyle w:val="Heading2"/>
        <w:spacing w:after="120" w:before="220"/>
      </w:pPr>
      <w:r>
        <w:rPr>
          <w:b/>
          <w:bCs/>
          <w:sz w:val="22"/>
          <w:szCs w:val="22"/>
        </w:rPr>
        <w:t xml:space="preserve">Consent to publish</w:t>
      </w:r>
    </w:p>
    <w:p>
      <w:pPr>
        <w:spacing w:after="120" w:line="276"/>
        <w:jc w:val="both"/>
      </w:pPr>
      <w:r>
        <w:t xml:space="preserve">Not applicable: the study contains no data from identifiable individuals.</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v1.5.0-paper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The reference list cites that concept DOI rather than a version DOI, deliberately: two earlier drafts of this paper cited a version that subsequent corrections superseded, and the concept DOI cannot fall out of date in that way. Readers reproducing this article should take the version tagged </w:t>
      </w:r>
      <w:r>
        <w:rPr>
          <w:rFonts w:ascii="Consolas" w:cs="Consolas" w:eastAsia="Consolas" w:hAnsi="Consolas"/>
          <w:sz w:val="18"/>
          <w:szCs w:val="18"/>
        </w:rPr>
        <w:t xml:space="preserve">v1.5.0-paper</w:t>
      </w:r>
      <w:r>
        <w:t xml:space="preserve">. Four earlier releases (10.5281/zenodo.22168553, 22212071, 22230948 and 22231200) predate corrections described in Sections 3.3 and 4.2, the condensation, or the recalibrated interval of Table 5, and are superseded; we record them here rather than deleting them, because each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Its known limitations are stated at the top level in </w:t>
      </w:r>
      <w:r>
        <w:rPr>
          <w:rFonts w:ascii="Consolas" w:cs="Consolas" w:eastAsia="Consolas" w:hAnsi="Consolas"/>
          <w:sz w:val="18"/>
          <w:szCs w:val="18"/>
        </w:rPr>
        <w:t xml:space="preserve">BENCHMARK.md</w:t>
      </w:r>
      <w:r>
        <w:t xml:space="preserve">, and the withdrawn inferential treatments of Section 3.3 are documented in </w:t>
      </w:r>
      <w:r>
        <w:rPr>
          <w:rFonts w:ascii="Consolas" w:cs="Consolas" w:eastAsia="Consolas" w:hAnsi="Consolas"/>
          <w:sz w:val="18"/>
          <w:szCs w:val="18"/>
        </w:rPr>
        <w:t xml:space="preserve">DENETIM_NOTU_geri_cekilen_cikarimlar.md</w:t>
      </w:r>
      <w:r>
        <w:t xml:space="preserve">. Reproducibility provisions are described in Section 7.</w:t>
      </w:r>
    </w:p>
    <w:p>
      <w:pPr>
        <w:spacing w:after="120" w:line="276"/>
        <w:jc w:val="both"/>
      </w:pPr>
      <w:r>
        <w:t xml:space="preserve">The three pre-registrations are commits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What this guarantees is bounded, and we state the bound rather than letting the term carry more weight than the evidence supports. The commit hashes bind the registered content cryptographically and fix its position in the history, so a reader can verify that no later commit silently altered a registration. The wall-clock dates are weaker: the repository was first published on 2026-08-29 and archived at Zenodo on 2026-08-30, which are third-party timestamps, but both postdate data collection, so neither separates registration from data. The asserted dates of 2026-08-23 to 2026-08-25 rest on the author's local history, which an author could in principle rewrite before first publication. Future registrations in this line of work will be anchored to a third-party timestamp at the moment of registration.</w:t>
      </w:r>
    </w:p>
    <w:p>
      <w:pPr>
        <w:spacing w:after="120" w:line="276"/>
        <w:jc w:val="both"/>
      </w:pPr>
      <w:r>
        <w:rPr>
          <w:b/>
          <w:bCs/>
        </w:rPr>
        <w:t xml:space="preserve">The licensing of this release is deliberately not uniform, and users must consult `DATA_LICENSE.md` before reuse.</w:t>
      </w:r>
      <w:r>
        <w:t xml:space="preserve"> Code is Apache-2.0, as is upstream MarkLLM; the Wikimedia-derived human windows are CC BY-SA 3.0 or later and GFDL, carrying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laundered texts and the judge verdicts are CC BY 4.0; detector scores and derived metrics are CC0 1.0 as facts. </w:t>
      </w:r>
      <w:r>
        <w:rPr>
          <w:rFonts w:ascii="Consolas" w:cs="Consolas" w:eastAsia="Consolas" w:hAnsi="Consolas"/>
          <w:sz w:val="18"/>
          <w:szCs w:val="18"/>
        </w:rPr>
        <w:t xml:space="preserve">DATA_LICENSE.md</w:t>
      </w:r>
      <w:r>
        <w:t xml:space="preserve"> is the authoritative statement: it gives the per-path table, marks which readings are contested, and explains how to assemble a commercially usable subset. The archive record's licence field reads "Other (Open)" because no single identifier describes the deposit; that field is not a blanket grant.</w:t>
      </w:r>
    </w:p>
    <w:p>
      <w:pPr>
        <w:spacing w:after="120" w:line="276"/>
        <w:jc w:val="both"/>
      </w:pPr>
      <w:r>
        <w:t xml:space="preserve">Because the repository is a fork, the release also carries roughly 330 MB of upstream files this study never reads: C4 excerpts shipped as evaluation fixtures under ODC-BY with the Common Crawl terms,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was used in three distinct ways, separated here because they carry different implications.</w:t>
      </w:r>
    </w:p>
    <w:p>
      <w:pPr>
        <w:spacing w:after="120" w:line="276"/>
        <w:jc w:val="both"/>
      </w:pPr>
      <w:r>
        <w:rPr>
          <w:b/>
          <w:bCs/>
        </w:rPr>
        <w:t xml:space="preserve">(a) As the object of study.</w:t>
      </w:r>
      <w:r>
        <w:t xml:space="preserve"> Claude Opus 5, via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Settings, measured cost (USD 17.704) and raw laundered outputs are in the release, so every detection score on those texts recomputes exactly; as Section 6 states, the generation itself may not be re-creatable against a future version of a closed model, so the result is an existence demonstration rather than a measurement of a fixed system.</w:t>
      </w:r>
    </w:p>
    <w:p>
      <w:pPr>
        <w:spacing w:after="120" w:line="276"/>
        <w:jc w:val="both"/>
      </w:pPr>
      <w:r>
        <w:rPr>
          <w:b/>
          <w:bCs/>
        </w:rPr>
        <w:t xml:space="preserve">(b) As measurement instruments.</w:t>
      </w:r>
      <w:r>
        <w:t xml:space="preserve"> Claude Opus 5 and gpt-oss-120b (via Groq) produced the 788 pairwise verdicts of Study S2 (Sections 3.5, 4.4) under the protocol pre-registered at commit </w:t>
      </w:r>
      <w:r>
        <w:rPr>
          <w:rFonts w:ascii="Consolas" w:cs="Consolas" w:eastAsia="Consolas" w:hAnsi="Consolas"/>
          <w:sz w:val="18"/>
          <w:szCs w:val="18"/>
        </w:rPr>
        <w:t xml:space="preserve">cbcb988</w:t>
      </w:r>
      <w:r>
        <w:t xml:space="preserve">: pairwise-only judging, both orders, blind calibration items passed before any real verdict was read, a 30% position-flip bound, two model families, and agreement of both judges required for any </w:t>
      </w:r>
      <w:r>
        <w:rPr>
          <w:rFonts w:ascii="Consolas" w:cs="Consolas" w:eastAsia="Consolas" w:hAnsi="Consolas"/>
          <w:sz w:val="18"/>
          <w:szCs w:val="18"/>
        </w:rPr>
        <w:t xml:space="preserve">launder_api</w:t>
      </w:r>
      <w:r>
        <w:t xml:space="preserve"> verdict precisely because Opus 5 produced those texts. The verdict file is released. These outputs are data reported in the paper, not text written into it. Uses (a) and (b) are documented in Methods with their costs and failure modes, and neither drafted nor edited any part of this manuscript.</w:t>
      </w:r>
    </w:p>
    <w:p>
      <w:pPr>
        <w:spacing w:after="120" w:line="276"/>
        <w:jc w:val="both"/>
      </w:pPr>
      <w:r>
        <w:rPr>
          <w:b/>
          <w:bCs/>
        </w:rPr>
        <w:t xml:space="preserve">(c) As a coding and drafting assistant.</w:t>
      </w:r>
      <w:r>
        <w:t xml:space="preserve"> Claude Opus 5 assisted with implementation of the experimental code and with drafting and editing the manuscript. This is visible in the public repository: of the 31 commits the author contributed to this fork, 20 carry the trailer </w:t>
      </w:r>
      <w:r>
        <w:rPr>
          <w:rFonts w:ascii="Consolas" w:cs="Consolas" w:eastAsia="Consolas" w:hAnsi="Consolas"/>
          <w:sz w:val="18"/>
          <w:szCs w:val="18"/>
        </w:rPr>
        <w:t xml:space="preserve">Co-Authored-By: Claude Opus 5</w:t>
      </w:r>
      <w:r>
        <w:t xml:space="preserve">. That trailer records that an AI assistant participated in producing a commit; </w:t>
      </w:r>
      <w:r>
        <w:rPr>
          <w:b/>
          <w:bCs/>
        </w:rPr>
        <w:t xml:space="preserve">it is not a claim of authorship.</w:t>
      </w:r>
      <w:r>
        <w:t xml:space="preserve"> No AI system is an author of this paper, and none could be: an AI system cannot take responsibility for content, approve a manuscript, respond to correspondence, or be accountable for the integrity of the work. The author reviewed all generated code and text, verified the pipeline against the data, and is solely accountable for the design, analysis, interpretation, claims and any errors.</w:t>
      </w:r>
    </w:p>
    <w:p>
      <w:pPr>
        <w:spacing w:after="120" w:line="276"/>
        <w:jc w:val="both"/>
      </w:pPr>
      <w:r>
        <w:t xml:space="preserve">Two structural safeguards limit what this assistance could have introduced. No scientific claim rests on unverified generated text: the number pipeline and its release gate are described in Section 7, and no number reaches the manuscript except through it. And generative AI was not used to create, augment or alter research data: the human corpus is verbatim Wikimedia excerpts, the generated corpus comes from Qwen3-14B under logged settings, and detector scores are computed by the pinned MarkLLM implementations.</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1.5.0-paper) [Computer software]. Zenodo. https://doi.org/10.5281/zenodo.22168552</w:t>
      </w:r>
    </w:p>
    <w:p>
      <w:pPr>
        <w:spacing w:after="100" w:line="276"/>
        <w:ind w:left="480" w:hanging="480"/>
        <w:jc w:val="left"/>
      </w:pPr>
      <w:r>
        <w:t xml:space="preserve">Chen, R., Wu, Y., Guo, J., &amp; Huang, H. (2025). De-mark: Watermark removal in large language models. In </w:t>
      </w:r>
      <w:r>
        <w:rPr>
          <w:i/>
          <w:iCs/>
        </w:rPr>
        <w:t xml:space="preserve">Proceedings of the 42nd International Conference on Machine Learning</w:t>
      </w:r>
      <w:r>
        <w:t xml:space="preserve"> (Proceedings of Machine Learning Research, Vol. 267, pp. 9316–9333). PMLR. https://proceedings.mlr.press/v267/</w:t>
      </w:r>
    </w:p>
    <w:p>
      <w:pPr>
        <w:spacing w:after="100" w:line="276"/>
        <w:ind w:left="480" w:hanging="480"/>
        <w:jc w:val="left"/>
      </w:pPr>
      <w:r>
        <w:t xml:space="preserve">Çöltekin, Ç., Doğruöz, A. S., &amp; Çetinoğlu, Ö. (2023). Resources for Turkish natural language processing: A critical survey. </w:t>
      </w:r>
      <w:r>
        <w:rPr>
          <w:i/>
          <w:iCs/>
        </w:rPr>
        <w:t xml:space="preserve">Language Resources and Evaluation, 57</w:t>
      </w:r>
      <w:r>
        <w:t xml:space="preserve">(1), 449–488. https://doi.org/10.1007/s10579-022-09605-4</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Ganesan, G. (2025). </w:t>
      </w:r>
      <w:r>
        <w:rPr>
          <w:i/>
          <w:iCs/>
        </w:rPr>
        <w:t xml:space="preserve">Cross-lingual summarization as a black-box watermark removal attack</w:t>
      </w:r>
      <w:r>
        <w:t xml:space="preserve"> (arXiv:2510.24789). arXiv. https://doi.org/10.48550/arXiv.2510.24789</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Harel-Canada, F. Y., Erol, B., Choi, C., Liu, J., Song, G. J., Peng, N., &amp; Sahai, A. (2025). Sandcastles in the storm: Revisiting the (im)possibility of strong watermarking. In </w:t>
      </w:r>
      <w:r>
        <w:rPr>
          <w:i/>
          <w:iCs/>
        </w:rPr>
        <w:t xml:space="preserve">Proceedings of the 63rd Annual Meeting of the Association for Computational Linguistics (Volume 1: Long Papers)</w:t>
      </w:r>
      <w:r>
        <w:t xml:space="preserve"> (pp. 29698–29735). Association for Computational Linguistics. https://doi.org/10.18653/v1/2025.acl-long.1436</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Huang, B., Pu, X., &amp; Wan, X. (2025). B⁴: A black-box scrubbing attack on LLM watermarks. In </w:t>
      </w:r>
      <w:r>
        <w:rPr>
          <w:i/>
          <w:iCs/>
        </w:rPr>
        <w:t xml:space="preserve">Proceedings of the 2025 Conference of the Nations of the Americas Chapter of the Association for Computational Linguistics: Human Language Technologies (Volume 1: Long Papers)</w:t>
      </w:r>
      <w:r>
        <w:t xml:space="preserve"> (pp. 9113–9126). Association for Computational Linguistics. https://doi.org/10.18653/v1/2025.naacl-long.460</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Meral, H. M., Sankur, B., Özsoy, A. S., Güngör, T., &amp; Sevinç, E. (2009). Natural language watermarking via morphosyntactic alterations. </w:t>
      </w:r>
      <w:r>
        <w:rPr>
          <w:i/>
          <w:iCs/>
        </w:rPr>
        <w:t xml:space="preserve">Computer Speech &amp; Language, 23</w:t>
      </w:r>
      <w:r>
        <w:t xml:space="preserve">(1), 107–125. https://doi.org/10.1016/j.csl.2008.04.001</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Zhang, Z., Zhang, X., Zhang, Y., Zhang, H., Pan, S., Liu, B., Gill, A. Q., &amp; Zhang, L. Y. (2026). Character-level perturbations disrupt LLM watermarks. In </w:t>
      </w:r>
      <w:r>
        <w:rPr>
          <w:i/>
          <w:iCs/>
        </w:rPr>
        <w:t xml:space="preserve">Proceedings 2026 Network and Distributed System Security Symposium</w:t>
      </w:r>
      <w:r>
        <w:t xml:space="preserve">. Internet Society. https://doi.org/10.14722/ndss.2026.230138</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54920549ba7fb94d1103cd70b681e62e462a4229.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2026-09-02T07:55:58.458Z</dcterms:created>
  <dcterms:modified xsi:type="dcterms:W3CDTF">2026-09-02T07:55:58.462Z</dcterms:modified>
</cp:coreProperties>
</file>

<file path=docProps/custom.xml><?xml version="1.0" encoding="utf-8"?>
<Properties xmlns="http://schemas.openxmlformats.org/officeDocument/2006/custom-properties" xmlns:vt="http://schemas.openxmlformats.org/officeDocument/2006/docPropsVTypes"/>
</file>