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output are designed and evaluated predominantly on English. We measure three schemes (the green-list KGW, the Gumbel-sampling EXP, and SynthID) on Turkish, using MarkLLM with Qwen3-14B to build 384 generated texts under ten removal attacks, a pre-registered false-positive study on 2,500 Turkish and 1,500 English human windows, and a two-judge meaning-preservation study. We report three findings. First, KGW's detector is miscalibrated on human text: the null standard deviation is 1.479 in Turkish against a theoretical 1, and the shipped z = 4 threshold produces 3 exceedances in 1,500 windows, roughly 63 times nominal (exact binomial interval 13 to 184 times). The inflation is robust across eight watermark keys, though the tail count is not (3 to 143 exceedances), and it is not specific to Turkish: English shows the same tail count, and at matched token length the languages are indistinguishable. Turkish contributes exposure rather than mechanism, since its higher subword fertility turns a given reading length into roughly twice as many tokens, and inflation grows with tokens scored. Second, robustness trades off against calibration: SynthID has the cleanest null (0.003) yet is the most fragile under attack. Third, laundering through an external LLM is the only attack that both degrades detection for all three schemes and preserves meaning, though meaning was judged on KGW-sourced text alone. A planned morphological attack did not fire, which we report with its coverage measurements. We release the corpus, scores, and judge annotations as a Turkish watermark-evaluation benchmark.</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rather than behaving independently. We put this forward as a proposed mechanism for the calibration results below; we explicitly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analyzer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takes the corpus's dependence structure seriously: because EXP is deterministic given prompt and key, its four seeds are not independent replicates, so all confidence intervals are prompt-clustered bootstrap intervals (effective n = 24 prompts); for degenerate AUROC = 1.000 cells we report counted separation, its margin, and an exact permutation p-value rather than the Clopper–Pearson bound an earlier version of this analysis used and Section 3.3 withdraws; and we report the full realized false-positive table rather than assuming that a threshold calibrated on clean negatives keeps its nominal rate under attack.</w:t>
      </w:r>
    </w:p>
    <w:p>
      <w:pPr>
        <w:spacing w:after="120" w:line="276"/>
        <w:jc w:val="both"/>
      </w:pPr>
      <w:r>
        <w:t xml:space="preserve">The headline finding is a calibration failure. On human Turkish, the KGW null standard deviation is 1.479 against a theoretical value of 1; at the shipped z = 4 threshold, 3 of 1,500 Turkish excerpts cross the line, an empirical false-positive rate of 0.002 or approximately 63× the nominal 3.17 × 10⁻⁵, with an exact binomial interval spanning 13× to 184×. Two of the three pre-registered S1 hypotheses are confirmed. The third, which attributed the inflation to Turkish rather than to English, does not survive a control for sequence length that we added after pre-registration and that we report in full: matched on tokens rather than words, the two languages are indistinguishable, and the inflation tracks how many tokens are scored. Turkish still matters in deployment, because its subword fertility turns a given reading length into roughly twice as many tokens, but it worsens a failure common to both languages instead of creating a Turkish-specific one. An exploratory analysis further indicates that thresholds calibrated on model-generated negatives do not transfer to human text: EXP's model-calibrated 1% threshold yields a 7.4% false-positive rate on human Turkish. The second finding is a robustness–calibration trade-off: SynthID has the cleanest human-text null (standard deviation 0.003) yet is the most fragile scheme under attack, with AUROC 0.816 under round-trip translation and 0.747 under external laundering, and is significantly more fragile than KGW or EXP in 4 of 6 Holm-corrected paired comparisons. The third finding is the laundering attack: rewriting watermarked text through an external model outside the defender's control is the only attack that satisfies the pre-declared success rule (ΔAUROC &gt; 0.05 with meaning preserved by both judges) for all three schemes, dropping AUROC to 0.917 (KGW), 0.863 (EXP), and 0.747 (SynthID), and the true-positive rate at the clean-calibrated threshold to 0.427, 0.490, and 0.250. Averaged over schemes, laundering removes 0.158 AUROC versus 0.091 for round-trip translation, at a measured API cost of USD 17.704 for the attack corpus.</w:t>
      </w:r>
    </w:p>
    <w:p>
      <w:pPr>
        <w:spacing w:after="120" w:line="276"/>
        <w:jc w:val="both"/>
      </w:pPr>
      <w:r>
        <w:t xml:space="preserve">We also report a negative result plainly, because the study was originally motivated by the conjecture that Turkish morphology itself would furnish a meaning-preserving removal attack. It does not, on this corpus. The v0 morphological transform averages 1.1 edits per text and leaves 60.4% of texts untouched, with a mean AUROC change of 0.000; the more aggressive v1 variant reaches 7.5 edits per text, but its apparent per-edit effect on the detection statistic is retracted after robustness testing (the bootstrap confidence interval includes zero, the Spearman correlation is non-significant, and the sign flips when the three highest-leverage points are removed). The v0 per-edit slope (+0.052 z per edit) survives the same tests but is practically negligible against a clean-text baseline z of 11.467. The proximate cause is coverage: the formal register that Qwen3-14B produces rarely contains the -Iyor progressive forms the transforms target.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transparent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 2. </w:t>
      </w:r>
      <w:r>
        <w:rPr>
          <w:b/>
          <w:bCs/>
        </w:rPr>
        <w:t xml:space="preserve">A robustness–calibration trade-off across schemes.</w:t>
      </w:r>
      <w:r>
        <w:t xml:space="preserve"> SynthID shows the cleanest human-text null (standard deviation 0.003) but the largest attack losses (AUROC 0.816 under round-trip translation, 0.747 under laundering), and is significantly more fragile in 4 of 6 Holm-corrected paired comparisons (test family specified before the per-scheme results were inspected); no significant fragility difference between KGW and EXP is found. 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 rather than a measurement. 4. </w:t>
      </w:r>
      <w:r>
        <w:rPr>
          <w:b/>
          <w:bCs/>
        </w:rPr>
        <w:t xml:space="preserve">A documented negative result and a disciplined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confidence intervals are prompt-clustered; degenerate cells report counted separation with an exact permutation p-value; exploratory observations are labeled as exploratory; and where a later control overturned a pre-registered conclusion we report the reversal rather than the original.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We build on the MarkLLM toolkit (Pan et al., 2024), which provides reference implementations of the three schemes and their detectors under a common interface;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Our laundering attack belongs to this family: it routes watermarked text through a rewriting model. We distinguish self-laundering (the generator rewrites its own output) from laundering through an external model, and we evaluate both under a pre-registered decision rule that requires meaning preservation, not only detection loss.</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2025),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 stress case for the assumptions above: it is agglutinative, with long suffix chains governed by vowel harmony, so subword tokenizers emit repeated suffix tokens whose distribution differs from English (Rust et al., 2021). Repeated suffix subtokens provide a candidate mechanism for interaction with context-hash schemes such as KGW when the hashing window is short. Morphological analysis for Turkish is available through the zeyrek analyzer (Bulat, 2022), which we use both to build a morphological attack and to verify that its edits are grammatical. What the closest antecedent calibrates against, however, is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and the SynthID processor state is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Kuditipudi et al., 2024)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reported transparently because it is easy to misread as threshold tuning.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What was calibrated is the instruction, not the bar.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dia50 converts each occurrence independently with probability 0.5, imitating informal keyboard usage. The morphological attacks generate candidate edits by rule. The re-inflection transform accepts an edit only if the zeyrek analyzer (Bulat, 2022) re-parses the result to the same lemma; the subordinate-clause alternation is a purely regular substitution with no analyzer check, although its edits are counted the same way. Same-lemma reparsing is a filter, not a guarantee of grammaticality or of preserved meaning, and we did not validate the edits with human annotators. The transforms are: morph (v0) applies a progressive-to-formal re-inflection (-Iyor to -mAktAdIr) and a subordinate-clause alternation; morph_v1 additionally drops copular suffixes, raising coverage. Measured coverage is low by construction of the register the model produces: morph makes a mean of 1.14 edits per text with 60.4% of texts receiving zero edits;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was USD 17.704, a figure we report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exactly this artifact; the cap is now derived from the generation budget, and we flag the episode as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not rows. Analytic intervals for this estimand exist (Newcombe, 2006), but they assume independence within each class and lose their coverage precisely at the boundary values that the degenerate cells of Table 3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An earlier version of this analysis attached a one-sided Clopper–Pearson lower bound to these cells, reading "zero failures in 24 clusters" as 24 Bernoulli successes and reporting a bound of 0.883 on AUROC. We withdraw that construction. Clopper–Pearson bounds the parameter of a binomial proportion, whereas AUROC is a pairwise-ranking U-statistic: by Bamber's identity (Bamber, 1975) it equals P(X⁺ &gt; X⁻) + ½·P(X⁺ = X⁻), a probability over pairs drawn from two samples rather than a success proportion over trials. The probability of a cluster-level event is therefore neither equal to nor a lower bound on the population AUROC, and the 24 cluster events are not independent trials because they share one pool of negatives and because the reporting itself is conditional on degeneracy having been observed. The arithmetic was correct for the quantity it computed; the quantity was not the one the sentence claimed.</w:t>
      </w:r>
    </w:p>
    <w:p>
      <w:pPr>
        <w:spacing w:after="120" w:line="276"/>
        <w:jc w:val="both"/>
      </w:pPr>
      <w:r>
        <w:t xml:space="preserve">In place of that bound we report the separation directly, counted rather than assumed (Table 3). In all eleven degenerate cells every one of the 24 prompt clusters separates completely, and separation also holds globally: the lowest watermarked statistic exceeds the highest of the 96 clean negatives. We report the width of that gap in units of the negative standard deviation, because it differs by nearly two orders of magnitude across schemes and reporting the cells as interchangeable would obscure that. The margin is 53.23 negative standard deviations for EXP on clean text but only 0.74 for KGW, so KGW's perfect separation is far more precarious than EXP's even though both round to AUROC 1.000. Finally, we give an assumption-free exact test: treating the four watermarked and four clean scores within a prompt as exchangeable under the null, complete separation in a single prompt has probability 1/70, and across 24 independent prompts the one-sided exact p-value is 10⁻⁴⁴·³.</w:t>
      </w:r>
    </w:p>
    <w:p>
      <w:pPr>
        <w:spacing w:after="120" w:line="276"/>
        <w:jc w:val="both"/>
      </w:pPr>
      <w:r>
        <w:t xml:space="preserve">The operating-point metric is named honestly. 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We answer it directly: the full 33-cell table (3 schemes by 11 conditions, the untransformed clean reference included) of realized FPR at that threshold on the corresponding negatives is reported, with one-sided binomial tests against the nominal rate under Bonferroni correction across the 33 cells.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Within each scheme, rtt and launder_api are compared by prompt-level paired Wilcoxon with Bonferroni correction across the three schemes (α = 0.05/3 ≈ 0.0167);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pairs, every pair presented in both orders, giving 80 ordered comparisons per condition per judge.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are used, deliberately from different model families: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favor their own generations, which makes the conflict a measured bias rather than a merely theoretical one; the pre-registration therefore requires agreement of both judges for any launder_api verdict, and fluency conclusions are drawn only from the independent judge. Position bias is a documented failure mode of pairwise LLM judging rather than a hypothetical one: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an exact permutation p-value for these cells instead of the Clopper–Pearson bound used in an earlier version, and Table 3 gives them. The separation behind these cells differs sharply in scale. KGW's (Kirchenbauer et al., 2023) mean z-statistic is 10.550 on watermarked text against 0.012 on clean negatives; EXP's (Aaronson, 2023; Aaronson &amp; Kirchner, 2022; Kuditipudi et al., 2024) mean statistic is 55.883 against 0.446; SynthID's (Dathathri et al., 2024)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margin, and exact p-value in place of the Clopper–Pearson bound withdrawn in Section 3.3. Attacks: dia50/dia100 = diacritic stripping (50%/100%); morph/morph_v1 = morphological transforms via zeyrek (Bulat, 2022); rtt = NLLB round-trip translation TR→EN→TR (NLLB Team et al., 2024); para/launder = self-paraphrase by the generator (Yang et al., 2025);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The exact p-value assumes only within-prompt exchangeability.</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Exact one-sided p</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right"/>
            </w:pPr>
            <w:r>
              <w:rPr>
                <w:sz w:val="17"/>
                <w:szCs w:val="17"/>
              </w:rPr>
              <w:t xml:space="preserve">10^-44.3</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relative to the clean condition, averaged over the three schemes. Two attacks dominate. Laundering through an external LLM (launder_api) is the most damaging, with a mean drop of 0.158; round-trip translation (rtt) follows at 0.091. The diacritic family produces small but non-zero drops (0.031–0.034 for the 100% variants), self-paraphrase attacks are near zero (launder 0.008, para 0.001), and the two purely morphological attacks produce a drop of exactly 0.000: the planned morphological attack does not fire on this corpus, a negative result analyzed in Section 6. Laundering through the generator itself (launder, mean drop 0.008) is nearly harmless, while the same operation through an external model (launder_api) is the strongest attack observed: per scheme, launder_api reduces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91150" cy="3771900"/>
                    </a:xfrm>
                    <a:prstGeom prst="rect">
                      <a:avLst/>
                    </a:prstGeom>
                  </pic:spPr>
                </pic:pic>
              </a:graphicData>
            </a:graphic>
          </wp:inline>
        </w:drawing>
      </w:r>
    </w:p>
    <w:p>
      <w:pPr>
        <w:spacing w:after="140" w:before="60"/>
        <w:jc w:val="left"/>
      </w:pPr>
      <w:r>
        <w:rPr>
          <w:b/>
          <w:bCs/>
          <w:sz w:val="17"/>
          <w:szCs w:val="17"/>
        </w:rPr>
        <w:t xml:space="preserve">Figure 1.</w:t>
      </w:r>
      <w:r>
        <w:rPr>
          <w:sz w:val="17"/>
          <w:szCs w:val="17"/>
        </w:rP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exact p-value for those cells. Generated by </w:t>
      </w:r>
      <w:r>
        <w:rPr>
          <w:rFonts w:ascii="Consolas" w:cs="Consolas" w:eastAsia="Consolas" w:hAnsi="Consolas"/>
          <w:sz w:val="17"/>
          <w:szCs w:val="17"/>
        </w:rPr>
        <w:t xml:space="preserve">paper/make_figures.py</w:t>
      </w:r>
      <w:r>
        <w:rPr>
          <w:sz w:val="17"/>
          <w:szCs w:val="17"/>
        </w:rPr>
        <w:t xml:space="preserve"> from </w:t>
      </w:r>
      <w:r>
        <w:rPr>
          <w:rFonts w:ascii="Consolas" w:cs="Consolas" w:eastAsia="Consolas" w:hAnsi="Consolas"/>
          <w:sz w:val="17"/>
          <w:szCs w:val="17"/>
        </w:rPr>
        <w:t xml:space="preserve">results/detection_metrics.csv</w:t>
      </w:r>
      <w:r>
        <w:rPr>
          <w:sz w:val="17"/>
          <w:szCs w:val="17"/>
        </w:rPr>
        <w:t xml:space="preserve">.</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rtt yields 0.594, 0.792, and 0.312 respectively (Table 5). These are small-sample estimates and we give their prompt-clustered intervals rather than the point values alone: under launder_api, [0.198, 0.729] for KGW, [0.344, 0.698] for EXP, and [0.073, 0.385] for SynthID; under rtt, [0.385, 0.844], [0.667, 0.958], and [0.146, 0.438]. The intervals are wide enough that the ordering among schemes at a fixed attack should not be read from these numbers;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Is laundering more destructive than translation?</w:t>
      </w:r>
      <w:r>
        <w:t xml:space="preserve"> We compare launder_api against rtt (the two strongest attacks) with prompt-level paired Wilcoxon tests on per-prompt detection rates (n = 24 prompts; row-level tests would violate the clustering structure identified above). The direction is consistent in all three schemes: launder_api is more destructive. Nominal p-values are 0.0053 (KGW), 0.037 (EXP), and 0.019 (SynthID); after Bonferroni correction across the three schemes (α = 0.05/3 ≈ 0.0167), only KGW remains significant (Table 5). The ordering launder_api &gt; rtt is therefore established for KGW and directionally consistent, but not individually significant, for EXP and SynthID.</w:t>
      </w:r>
    </w:p>
    <w:p>
      <w:pPr>
        <w:spacing w:after="140" w:before="60"/>
        <w:jc w:val="left"/>
      </w:pPr>
      <w:r>
        <w:rPr>
          <w:b/>
          <w:bCs/>
          <w:sz w:val="17"/>
          <w:szCs w:val="17"/>
        </w:rPr>
        <w:t xml:space="preserve">Table 5.</w:t>
      </w:r>
      <w:r>
        <w:rPr>
          <w:sz w:val="17"/>
          <w:szCs w:val="17"/>
        </w:rPr>
        <w:t xml:space="preserve"> Prompt-level paired comparison of launder_api vs. rtt (Wilcoxon signed-rank on per-prompt detection rates at the clean-calibrated threshold; n = 24 prompts per scheme; Bonferroni over 3 schemes, α = 0.05/3 ≈ 0.0167;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(launder_api)</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Wilcoxon p</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Bonferroni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right"/>
            </w:pPr>
            <w:r>
              <w:rPr>
                <w:sz w:val="17"/>
                <w:szCs w:val="17"/>
              </w:rPr>
              <w:t xml:space="preserve">0.594</w:t>
            </w:r>
          </w:p>
        </w:tc>
        <w:tc>
          <w:tcPr>
            <w:tcW w:type="dxa" w:w="1825"/>
            <w:tcMar>
              <w:top w:type="dxa" w:w="60"/>
              <w:left w:type="dxa" w:w="100"/>
              <w:bottom w:type="dxa" w:w="60"/>
              <w:right w:type="dxa" w:w="100"/>
            </w:tcMar>
          </w:tcPr>
          <w:p>
            <w:pPr>
              <w:spacing w:after="0"/>
              <w:jc w:val="right"/>
            </w:pPr>
            <w:r>
              <w:rPr>
                <w:sz w:val="17"/>
                <w:szCs w:val="17"/>
              </w:rPr>
              <w:t xml:space="preserve">0.427</w:t>
            </w:r>
          </w:p>
        </w:tc>
        <w:tc>
          <w:tcPr>
            <w:tcW w:type="dxa" w:w="1825"/>
            <w:tcMar>
              <w:top w:type="dxa" w:w="60"/>
              <w:left w:type="dxa" w:w="100"/>
              <w:bottom w:type="dxa" w:w="60"/>
              <w:right w:type="dxa" w:w="100"/>
            </w:tcMar>
          </w:tcPr>
          <w:p>
            <w:pPr>
              <w:spacing w:after="0"/>
              <w:jc w:val="right"/>
            </w:pPr>
            <w:r>
              <w:rPr>
                <w:sz w:val="17"/>
                <w:szCs w:val="17"/>
              </w:rPr>
              <w:t xml:space="preserve">0.0053</w:t>
            </w:r>
          </w:p>
        </w:tc>
        <w:tc>
          <w:tcPr>
            <w:tcW w:type="dxa" w:w="1826"/>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right"/>
            </w:pPr>
            <w:r>
              <w:rPr>
                <w:sz w:val="17"/>
                <w:szCs w:val="17"/>
              </w:rPr>
              <w:t xml:space="preserve">0.792</w:t>
            </w:r>
          </w:p>
        </w:tc>
        <w:tc>
          <w:tcPr>
            <w:tcW w:type="dxa" w:w="1825"/>
            <w:tcMar>
              <w:top w:type="dxa" w:w="60"/>
              <w:left w:type="dxa" w:w="100"/>
              <w:bottom w:type="dxa" w:w="60"/>
              <w:right w:type="dxa" w:w="100"/>
            </w:tcMar>
          </w:tcPr>
          <w:p>
            <w:pPr>
              <w:spacing w:after="0"/>
              <w:jc w:val="right"/>
            </w:pPr>
            <w:r>
              <w:rPr>
                <w:sz w:val="17"/>
                <w:szCs w:val="17"/>
              </w:rPr>
              <w:t xml:space="preserve">0.490</w:t>
            </w:r>
          </w:p>
        </w:tc>
        <w:tc>
          <w:tcPr>
            <w:tcW w:type="dxa" w:w="1825"/>
            <w:tcMar>
              <w:top w:type="dxa" w:w="60"/>
              <w:left w:type="dxa" w:w="100"/>
              <w:bottom w:type="dxa" w:w="60"/>
              <w:right w:type="dxa" w:w="100"/>
            </w:tcMar>
          </w:tcPr>
          <w:p>
            <w:pPr>
              <w:spacing w:after="0"/>
              <w:jc w:val="right"/>
            </w:pPr>
            <w:r>
              <w:rPr>
                <w:sz w:val="17"/>
                <w:szCs w:val="17"/>
              </w:rPr>
              <w:t xml:space="preserve">0.037</w:t>
            </w:r>
          </w:p>
        </w:tc>
        <w:tc>
          <w:tcPr>
            <w:tcW w:type="dxa" w:w="1826"/>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right"/>
            </w:pPr>
            <w:r>
              <w:rPr>
                <w:sz w:val="17"/>
                <w:szCs w:val="17"/>
              </w:rPr>
              <w:t xml:space="preserve">0.312</w:t>
            </w:r>
          </w:p>
        </w:tc>
        <w:tc>
          <w:tcPr>
            <w:tcW w:type="dxa" w:w="1825"/>
            <w:tcMar>
              <w:top w:type="dxa" w:w="60"/>
              <w:left w:type="dxa" w:w="100"/>
              <w:bottom w:type="dxa" w:w="60"/>
              <w:right w:type="dxa" w:w="100"/>
            </w:tcMar>
          </w:tcPr>
          <w:p>
            <w:pPr>
              <w:spacing w:after="0"/>
              <w:jc w:val="right"/>
            </w:pPr>
            <w:r>
              <w:rPr>
                <w:sz w:val="17"/>
                <w:szCs w:val="17"/>
              </w:rPr>
              <w:t xml:space="preserve">0.250</w:t>
            </w:r>
          </w:p>
        </w:tc>
        <w:tc>
          <w:tcPr>
            <w:tcW w:type="dxa" w:w="1825"/>
            <w:tcMar>
              <w:top w:type="dxa" w:w="60"/>
              <w:left w:type="dxa" w:w="100"/>
              <w:bottom w:type="dxa" w:w="60"/>
              <w:right w:type="dxa" w:w="100"/>
            </w:tcMar>
          </w:tcPr>
          <w:p>
            <w:pPr>
              <w:spacing w:after="0"/>
              <w:jc w:val="right"/>
            </w:pPr>
            <w:r>
              <w:rPr>
                <w:sz w:val="17"/>
                <w:szCs w:val="17"/>
              </w:rPr>
              <w:t xml:space="preserve">0.019</w:t>
            </w:r>
          </w:p>
        </w:tc>
        <w:tc>
          <w:tcPr>
            <w:tcW w:type="dxa" w:w="1826"/>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with Holm correction) was specified before the per-scheme results were inspected (Section 3.3; Table 6). SynthID is significantly more fragile than both alternatives under both attacks: all four tests involving SynthID survive Holm correction (4/6), with mean per-prompt detection-rate differences of 0.479 (EXP vs. SynthID, rtt), 0.281 (KGW vs. SynthID, rtt), 0.240 (EXP vs. SynthID, launder_api), and 0.177 (KGW vs. SynthID, launder_api). KGW and EXP are not distinguishable from each other under either attack (p = 0.104 and p = 0.513).</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0.008</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0.240</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16"/>
            <w:tcMar>
              <w:top w:type="dxa" w:w="60"/>
              <w:left w:type="dxa" w:w="100"/>
              <w:bottom w:type="dxa" w:w="60"/>
              <w:right w:type="dxa" w:w="100"/>
            </w:tcMar>
          </w:tcPr>
          <w:p>
            <w:pPr>
              <w:spacing w:after="0"/>
              <w:jc w:val="right"/>
            </w:pPr>
            <w:r>
              <w:rPr>
                <w:sz w:val="17"/>
                <w:szCs w:val="17"/>
              </w:rPr>
              <w:t xml:space="preserve">0.017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−0.198</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0.104</w:t>
            </w:r>
          </w:p>
        </w:tc>
        <w:tc>
          <w:tcPr>
            <w:tcW w:type="dxa" w:w="1216"/>
            <w:tcMar>
              <w:top w:type="dxa" w:w="60"/>
              <w:left w:type="dxa" w:w="100"/>
              <w:bottom w:type="dxa" w:w="60"/>
              <w:right w:type="dxa" w:w="100"/>
            </w:tcMar>
          </w:tcPr>
          <w:p>
            <w:pPr>
              <w:spacing w:after="0"/>
              <w:jc w:val="right"/>
            </w:pPr>
            <w:r>
              <w:rPr>
                <w:sz w:val="17"/>
                <w:szCs w:val="17"/>
              </w:rPr>
              <w:t xml:space="preserve">0.025</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0.513</w:t>
            </w:r>
          </w:p>
        </w:tc>
        <w:tc>
          <w:tcPr>
            <w:tcW w:type="dxa" w:w="1216"/>
            <w:tcMar>
              <w:top w:type="dxa" w:w="60"/>
              <w:left w:type="dxa" w:w="100"/>
              <w:bottom w:type="dxa" w:w="60"/>
              <w:right w:type="dxa" w:w="100"/>
            </w:tcMar>
          </w:tcPr>
          <w:p>
            <w:pPr>
              <w:spacing w:after="0"/>
              <w:jc w:val="right"/>
            </w:pPr>
            <w:r>
              <w:rPr>
                <w:sz w:val="17"/>
                <w:szCs w:val="17"/>
              </w:rPr>
              <w:t xml:space="preserve">0.050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and Section 1 promised the full table rather than a summary of it. Table 7 gives all 33 cells. The highest realized false-positive rate is 6.2%, against the 1% the threshold was set for. Under a one-sided binomial test with Bonferroni correction over the 33 cells, 2 cells depart significantly from nominal (EXP/launder_api, SynthID/morph_v1+dia). With 96 negatives per cell the resolution is 1/96 = 1.0%, so smaller departures cannot be distinguished here; that limit is precisely why S1 measures false positives on human text at n ≥ 3,000 instead.</w:t>
      </w:r>
    </w:p>
    <w:p>
      <w:pPr>
        <w:spacing w:after="140" w:before="60"/>
        <w:jc w:val="left"/>
      </w:pPr>
      <w:r>
        <w:rPr>
          <w:b/>
          <w:bCs/>
          <w:sz w:val="17"/>
          <w:szCs w:val="17"/>
        </w:rPr>
        <w:t xml:space="preserve">Table 7.</w:t>
      </w:r>
      <w:r>
        <w:rPr>
          <w:sz w:val="17"/>
          <w:szCs w:val="17"/>
        </w:rPr>
        <w:t xml:space="preserve"> Realized false-positive rate of the clean-calibrated threshold on attacked negatives, for all 33 scheme-condition cells. The threshold is set to 1% FPR on the 96 clean negatives; the fourth column is the rate that same threshold actually achieves once the negatives have been through the attack. The last column gives AUROC when both classes carry the same transformation, which is an ecologically meaningful question for diacritic stripping and translation but not for the laundering attacks, since nobody launders human text to remove a watermark it does not carry.</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TPR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Realized FPR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Exceeding</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95% upper</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Same-transform AUROC</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0.875</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0.792</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0.490</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0.840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0.979</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0.844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0.594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0.961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0.938</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0.427</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0.941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0.677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0.915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0.312</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0.825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0.998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0.250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0.807</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(Table 11 gives the per-scheme ΔAUROC values). Laundering through an external model is thus the only attack in this study that satisfies the rule for every scheme tested. SynthID's position is the mirror image of its calibration behavior reported in Section 4.3 (Figure 2): the scheme most fragile under attack has the cleanest null distribution on human text, an inverse pattern between attack robustness and null-distribution behavior that we return to in the Discussion.</w:t>
      </w:r>
    </w:p>
    <w:p>
      <w:pPr>
        <w:spacing w:after="60" w:before="180"/>
        <w:jc w:val="center"/>
      </w:pPr>
      <w:r>
        <w:drawing>
          <wp:inline distT="0" distB="0" distL="0" distR="0">
            <wp:extent cx="539115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4057650"/>
                    </a:xfrm>
                    <a:prstGeom prst="rect">
                      <a:avLst/>
                    </a:prstGeom>
                  </pic:spPr>
                </pic:pic>
              </a:graphicData>
            </a:graphic>
          </wp:inline>
        </w:drawing>
      </w:r>
    </w:p>
    <w:p>
      <w:pPr>
        <w:spacing w:after="140" w:before="60"/>
        <w:jc w:val="left"/>
      </w:pPr>
      <w:r>
        <w:rPr>
          <w:b/>
          <w:bCs/>
          <w:sz w:val="17"/>
          <w:szCs w:val="17"/>
        </w:rPr>
        <w:t xml:space="preserve">Figure 2.</w:t>
      </w:r>
      <w:r>
        <w:rPr>
          <w:sz w:val="17"/>
          <w:szCs w:val="17"/>
        </w:rPr>
        <w:t xml:space="preserve"> The robustness–calibration trade-off. Horizontal axis: null standard deviation on human Turkish (log scale; smaller = better calibrated). Vertical axis: AUROC under external laundering with clustered 95% CIs (lower = more fragile). SynthID occupies the clean-null/fragile corner; KGW the inflated-null/robust corner. Generated by </w:t>
      </w:r>
      <w:r>
        <w:rPr>
          <w:rFonts w:ascii="Consolas" w:cs="Consolas" w:eastAsia="Consolas" w:hAnsi="Consolas"/>
          <w:sz w:val="17"/>
          <w:szCs w:val="17"/>
        </w:rPr>
        <w:t xml:space="preserve">paper/make_figures.py</w:t>
      </w:r>
      <w:r>
        <w:rPr>
          <w:sz w:val="17"/>
          <w:szCs w:val="17"/>
        </w:rPr>
        <w:t xml:space="preserve">.</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8 reports, per scheme and language, the null mean and standard deviation, the false-positive rate at the configuration threshold, and the false-positive rate at the threshold calibrated to 1% FPR on the 96 clean model negatives.</w:t>
      </w:r>
    </w:p>
    <w:p>
      <w:pPr>
        <w:spacing w:after="140" w:before="60"/>
        <w:jc w:val="left"/>
      </w:pPr>
      <w:r>
        <w:rPr>
          <w:b/>
          <w:bCs/>
          <w:sz w:val="17"/>
          <w:szCs w:val="17"/>
        </w:rPr>
        <w:t xml:space="preserve">Table 8.</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9.</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 is confirmed, and it survives both controls we added afterwards.</w:t>
      </w:r>
      <w:r>
        <w:t xml:space="preserve"> On human Turkish, the KGW null standard deviation is 1.479 against the theoretical value of 1; the largest observed statistic is z = 5.08, well above the detection threshold. Empirically, 3 of 1,500 Turkish windows exceed z = 4, a rate of 2.0 × 10⁻³, approximately 63 times the nominal rate. We treat this count-based estimate as primary. A Gaussian fit to the observed null implies 3.05 × 10⁻³ (i.e. 3.05 × 10⁻³ / 3.17 × 10⁻⁵ ≈ 96 times nominal), but H1 itself establishes that the Gaussian model is misspecified, so the parametric figure is reported only as approximate corroboration of the order of magnitude, never as the headline estimate.</w:t>
      </w:r>
    </w:p>
    <w:p>
      <w:pPr>
        <w:spacing w:after="120" w:line="276"/>
        <w:jc w:val="both"/>
      </w:pPr>
      <w:r>
        <w:t xml:space="preserve">Three exceedances in 1,500 windows is a small count and we attach its uncertainty rather than reporting the ratio alone: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whole study runs on one key, the MarkLLM default, and a keyed scheme could in principle owe its null behaviour to that particular vocabulary partition. Because S1 requires no generation (the text is human and the detectors are model-free), we rescored all 4,000 windows under eight keys, the study key first and the remainder drawn from a fixed seed.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of the eight, so the 63× headline is the most conservative reading available and the median key would give roughly 147×. We report the sweep because it cuts against a convenient number, not because it flatters one.</w:t>
      </w:r>
    </w:p>
    <w:p>
      <w:pPr>
        <w:spacing w:after="120" w:line="276"/>
        <w:jc w:val="both"/>
      </w:pPr>
      <w:r>
        <w:rPr>
          <w:b/>
          <w:bCs/>
        </w:rPr>
        <w:t xml:space="preserve">H2 does not survive a control we added after pre-registration, and we report it as not confirmed.</w:t>
      </w:r>
      <w:r>
        <w:t xml:space="preserve">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rather than a random sample.</w:t>
      </w:r>
    </w:p>
    <w:p>
      <w:pPr>
        <w:spacing w:after="120" w:line="276"/>
        <w:jc w:val="both"/>
      </w:pPr>
      <w:r>
        <w:t xml:space="preserve">What the length control reveals is a dose–response that both languages share (Table 9).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the two languages are indistinguishable. H2 as pre-registered attributed the inflation to the language; the data attribute it to length, with the language entering only through how many tokens a given amount of text becomes. We keep the pre-registered result on record and mark it superseded rather than deleting it.</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rather than being drawn independently. Document-level green counts become over-dispersed and the variance of the z-statistic exceeds its binomial value while the mean stays near zero. Fernandez et al. (2023) established this empirically before us, and at a scale ours does not approach: 100k multilingual Wikipedia texts of 256 tokens scored under ten master keys, where the empirical false-positive rate of the z-test sits far above its theoretical value. Their decomposition matters for reading ours: part of that gap is the Gaussian approximation itself, which exact tests close, and the residue is what repeated context windows contribute by reseeding the same partition.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now identify the carrier as length rather than morphology.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What survives is an indirect route: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but it is mediated by tokenization rather than produced by morphology acting on the hash.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324225"/>
                    </a:xfrm>
                    <a:prstGeom prst="rect">
                      <a:avLst/>
                    </a:prstGeom>
                  </pic:spPr>
                </pic:pic>
              </a:graphicData>
            </a:graphic>
          </wp:inline>
        </w:drawing>
      </w:r>
    </w:p>
    <w:p>
      <w:pPr>
        <w:spacing w:after="140" w:before="60"/>
        <w:jc w:val="left"/>
      </w:pPr>
      <w:r>
        <w:rPr>
          <w:b/>
          <w:bCs/>
          <w:sz w:val="17"/>
          <w:szCs w:val="17"/>
        </w:rPr>
        <w:t xml:space="preserve">Figure 3.</w:t>
      </w:r>
      <w:r>
        <w:rPr>
          <w:sz w:val="17"/>
          <w:szCs w:val="17"/>
        </w:rP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7"/>
          <w:szCs w:val="17"/>
        </w:rPr>
        <w:t xml:space="preserve">paper/make_figures.py</w:t>
      </w:r>
      <w:r>
        <w:rPr>
          <w:sz w:val="17"/>
          <w:szCs w:val="17"/>
        </w:rP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rather than as evidence of equivalence, since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what replicates across the two registers is the inflation itself, which the token-matched comparison attributes to sequence length in both languages. The two registers are analyzed separately and never pooled.</w:t>
      </w:r>
    </w:p>
    <w:p>
      <w:pPr>
        <w:spacing w:after="120" w:line="276"/>
        <w:jc w:val="both"/>
      </w:pPr>
      <w:r>
        <w:rPr>
          <w:b/>
          <w:bCs/>
        </w:rPr>
        <w:t xml:space="preserve">Exploratory observations (labeled as such; not pre-registered).</w:t>
      </w:r>
      <w:r>
        <w:t xml:space="preserve"> First, the English KGW null mean is shifted to +0.278, whereas the Turkish mean is −0.055; no hypothesis anticipated this shift, and we record it strictly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we label the interpretation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pairs per condition presented in both orders (n = 80 ordered comparisons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10 reports the outcome. Meaning is preserved in every cell: for all four judged attacks and both judges, the meaning-preservation rate is 1.00. Two limits on that sentence should be read with it. All judged pairs come from the KGW arm, as pre-registered, so this is a statement about attacks applied to KGW-watermarked text and not about the EXP or SynthID arms. And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10.</w:t>
      </w:r>
      <w:r>
        <w:rPr>
          <w:sz w:val="17"/>
          <w:szCs w:val="17"/>
        </w:rPr>
        <w:t xml:space="preserve"> S2 pairwise judging results per condition and judge (n = 80 ordered comparisons per cell).</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selecting a scheme post hoc, we evaluate the rule for each scheme separately and report all three outcomes (Table 11; each ΔAUROC is computed as 1.000 (the clean AUROC of every scheme in Table 2) minus that scheme's attacked AUROC in Table 2).</w:t>
      </w:r>
    </w:p>
    <w:p>
      <w:pPr>
        <w:spacing w:after="140" w:before="60"/>
        <w:jc w:val="left"/>
      </w:pPr>
      <w:r>
        <w:rPr>
          <w:b/>
          <w:bCs/>
          <w:sz w:val="17"/>
          <w:szCs w:val="17"/>
        </w:rPr>
        <w:t xml:space="preserve">Table 11.</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Fluency claims require discipline. 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predicts when a model grades its own output, and we discard the verdict rather than interpret it. The independent judge fails in the other documented direction, order sensitivity (Zheng et al., 2023), at 42.5% to 57.5% across three of four conditions, which is exactly what the pre-registered 30% bound was set to catch, and it caught it. The defensible statement is that laundering does not measurably degrade fluency; the data cannot support "improves". Round-trip translation is the contrast case: both judges' flip rates fall within the bound (25.0% and 10.0%) and both prefer the original (85.0% and 95.0% of pairs), so rtt produces detectable fluency loss (NLLB Team et al., 2024)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(an approximately standard normal null) that fails on human text. On 1500 Wikipedia windows (Wikimedia Foundation, 2023a) the KGW null standard deviation is 1.479 against a theoretical 1, and 3/1500 human Turkish windows (0.2%) cross z = 4, approximately 63 times the nominal false-positive rate of 3.17 × 10⁻⁵, with an exact binomial interval of 13 to 184 times nominal (empirical estimate primary; the Gaussian parametric figure of 3.05 × 10⁻³ / 3.17 × 10⁻⁵ ≈ 96× is approximate only, since the inflation itself shows the null is not the assumed Gaussian). A Turkish deployment that ships the default threshold therefore accuses human writers at roughly 63 times the rate the scheme's theory promises (Kirchenbauer et al., 2023), and the eight-key sweep of Section 4.3 places that figure at the conservative end of a range whose median is about 147 times.</w:t>
      </w:r>
    </w:p>
    <w:p>
      <w:pPr>
        <w:spacing w:after="120" w:line="276"/>
        <w:jc w:val="both"/>
      </w:pPr>
      <w:r>
        <w:t xml:space="preserve">The failure is not confined to Turkish, and saying so is the honest reading of our own data. English shows the same inflated null (standard deviation 1.321) and exactly the same tail count, 3 of 1,500. At matched token length the two languages are statistically indistinguishable. What Turkish adds is exposure rather than a different mechanism: because its subword fertility is roughly twice that of English, a document of a given reading length is scored over roughly twice as many tokens, and the inflation grows with tokens scored. A deployment serving Turkish therefore sits further along the same curve, not on a different one. Nemecek et al. (2026) reach the same structural verdict from a wider grid, reporting that cross-lingual disparity in watermarking is predominantly between typological families rather than idiosyncratic to particular languages, and that every scheme they audit ships a hardcoded threshold targeting a theoretical false-positive rate under an IID-token null that multilingual generation does not satisfy. Their prescription, empirical per-deployment threshold calibration, is ours as well; what our measurement adds to it is the second axis, since calibrating on the right language but the wrong negative distribution is not enough.</w:t>
      </w:r>
    </w:p>
    <w:p>
      <w:pPr>
        <w:spacing w:after="120" w:line="276"/>
        <w:jc w:val="both"/>
      </w:pPr>
      <w:r>
        <w:t xml:space="preserve">Calibration must also match the negative distribution, not just the language. We record an exploratory, not pre-registered, but operationally important observation. Thresholds set to 1% FPR on the model's own unwatermarked outputs do not transfer to human text: the same thresholds yield 7.4% FPR on human Turkish for EXP and 4.1% on human English for SynthID. Model-generated negatives are an inadequate proxy for the human text a deployed detector will actually screen. The practical prescription is that deployments should calibrate on, and report, the negative distribution of their own language and register. Two remedies for the dependence itself already exist and we did not apply either: Fernandez et al. (2023) score only those tokens whose watermark context window, or context-plus-token tuple, has not already been seen in the document, and both Fernandez et al. (2023) and Khachaturov et al. (2025) recommend a wider seeding window. What we measure is the configuration as shipped (</w:t>
      </w:r>
      <w:r>
        <w:rPr>
          <w:rFonts w:ascii="Consolas" w:cs="Consolas" w:eastAsia="Consolas" w:hAnsi="Consolas"/>
          <w:sz w:val="18"/>
          <w:szCs w:val="18"/>
        </w:rPr>
        <w:t xml:space="preserve">prefix_length</w:t>
      </w:r>
      <w:r>
        <w:t xml:space="preserve"> = 1 with a z = 4 threshold, the MarkLLM defaults; Pan et al., 2024), which is what a deployment inherits unless it knows to change it, and our 63× figure should be read as the cost of that default rather than as a bound on what the scheme family can achieve.</w:t>
      </w:r>
    </w:p>
    <w:p>
      <w:pPr>
        <w:pStyle w:val="Heading2"/>
        <w:spacing w:after="120" w:before="220"/>
      </w:pPr>
      <w:r>
        <w:rPr>
          <w:b/>
          <w:bCs/>
          <w:sz w:val="22"/>
          <w:szCs w:val="22"/>
        </w:rPr>
        <w:t xml:space="preserve">5.2 A robustness–calibration trade-off</w:t>
      </w:r>
    </w:p>
    <w:p>
      <w:pPr>
        <w:spacing w:after="120" w:line="276"/>
        <w:jc w:val="both"/>
      </w:pPr>
      <w:r>
        <w:t xml:space="preserve">No scheme dominates both axes. That a watermarking design buys one property at the cost of another is a documented pattern rather than a surprise: Pang et al. (2024) show that common design choices leave the resulting systems open to attack and derive fundamental trade-offs among robustness, utility and usability. The pair we measure, attack robustness against the behaviour of the null distribution on unwatermarked text, is not among theirs, and it is the pair a deployment has to price, because one axis governs how often the watermark is missed and the other how often an innocent writer is accused. SynthID (Dathathri et al., 2024) has by far the cleanest human-text null (standard deviation 0.003 on Turkish, 0.004 on English; zero config-threshold false positives on the 1500 Turkish windows), yet it is the most fragile under attack: all four Holm-significant prompt-level pairwise differences are against SynthID (rtt: EXP +0.479, p = 0.001 and KGW +0.281, p = 0.001; launder_api: EXP +0.240, p = 0.003 and KGW +0.177, p = 0.013), and under launder_api its AUROC falls to 0.747 with TPR 0.250 at the clean-calibrated threshold. The absolute half of that observation is not new: Han et al. (2025) report SynthID-Text degraded by meaning-preserving attacks including paraphrase and back-translation, and propose hybridizing it with a semantic scheme (Liu et al., 2024) as the remedy. What we add is the relative half, measured rather than asserted: at each scheme's own clean-calibrated threshold and with the prompt as the unit of analysis, SynthID is more fragile than both alternatives in every one of the four paired comparisons that survive Holm correction, and it is so on Turkish, where none of the three schemes had been measured. KGW is comparatively robust to attack but carries the inflated Turkish null of Section 4.3. EXP (Aaronson, 2023; Aaronson &amp; Kirchner, 2022; Kuditipudi et al., 2024) sits between them (KGW–EXP differences are not significant: p = 0.104 for rtt, p = 0.513 for launder_api), with the caveat that its fixed-length generation is a structural confound noted in Section 6. Choosing a watermark for Turkish is thus a trade-off between attack robustness and null calibration, and the scheme with the most trustworthy false-positive behaviour is the easiest to wash out.</w:t>
      </w:r>
    </w:p>
    <w:p>
      <w:pPr>
        <w:pStyle w:val="Heading2"/>
        <w:spacing w:after="120" w:before="220"/>
      </w:pPr>
      <w:r>
        <w:rPr>
          <w:b/>
          <w:bCs/>
          <w:sz w:val="22"/>
          <w:szCs w:val="22"/>
        </w:rPr>
        <w:t xml:space="preserve">5.3 Laundering is cheap and effective; defense is open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Its mean AUROC drop across schemes is 0.158 (the next attack, rtt, achieves 0.091), and it pushes TPR at the clean-calibrated thresholds down to 0.427 (KGW), 0.490 (EXP), and 0.250 (SynthID) while preserving meaning in every judged pair drawn from the KGW arm, and leaving no fluency loss the independent judge can detect. This is a counterweight to the reliability result of Kirchenbauer et al. (2024), who report that after strong human paraphrase a green-list watermark remains detectable once roughly 800 tokens are observed at a nominal 10⁻⁵ false-positive rate. Our texts are longer than that budget (the median KGW text is 983.5 tokens, Table 1, and the EXP arm is fixed at 950), and detection still falls to a true-positive rate of 0.427 for KGW and 0.250 for SynthID. Two differences keep this from being a failed replication and make it a boundary condition instead: their attack paraphrases the text whereas ours rewrites it through a different and external model, and their token budget is derived from a nominal 10⁻⁵ rate that Section 4.3 measures to be wrong on human text by one to two orders of magnitude, so the length at which detection becomes trustworthy is itself understated. Nor is it covert truncation: the median attacked-to-source length ratio is 0.976. At the prompt level, launder_api is more destructive than round-trip translation for KGW (paired Wilcoxon p = 0.0053, significant after Bonferroni correction across the three schemes); the direction is the same for EXP (p = 0.037) and SynthID (p = 0.019) without surviving correction. The contrast with self-paraphrase is instructive: asking the watermarking model itself to rewrite its output barely moves detection (mean AUROC drop 0.008 for launder, 0.001 for para), so the attack's power comes from routing text through a different, external model (one outside the defender's control), not from paraphrasing as such. The attack is also cheap and requires no knowledge of the scheme or key: the entire launder_api pass over the corpus cost USD 17.704 in measured API charges (the Opus 5 judge evaluation added USD 7.021; the second judge's cost was not separately metered), and it degrades all three schemes at once. We evaluate no defenses here, and the question is not open in theory: Zhang et al. (2024) prove that no strong watermarking scheme survives an attacker holding a quality oracle and a mixing perturbation oracle, and instantiate that attack successfully against the green-list (Kirchenbauer et al., 2023) and distortion-free (Kuditipudi et al., 2024) schemes we also test. Our launder_api attack is a crude, single-pass realization of that perturbation oracle. What remains open is empirical and quantitative: how much detection survives which rewrite budget, for which scheme, at which document length and in which language, and whether any deployable defense makes the attack expensive enough to matter, including whether the sentence-level semantic schemes noted in Section 2 (Hou et al., 2024; Liu et al., 2024), which we did not evaluate, degrade more gracefully than the three token-level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 not the only place the theoretical null bends.</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in this study comes from a single generator, Qwen3-14B (Yang et al., 2025). This was not for lack of trying: five candidate generators were run through the same pre-registered acceptance gate (Latin-script purity 16/16 mandatory; overall gate ≥ 12/16), and only Qwen3-14B passed. Qwen2.5-3B and -7B failed on foreign-script contamination across five configurations; Mistral-Nemo-12B failed on contamination and under-delivery (Latin 14/16, gate 9/16, median 315 words); and the Turkish-tuned Turkish-Llama-8b produced clean, long text (Latin 16/16, word criterion 16/16, median 808.5 words) but degenerated into repetition and failed to terminate (repetition criterion 3/16, termination 2/16, gate 0/16). Cross-model replication was therefore attempted and not achieved (the gate records are in the repository), and producing acceptable long-form Turkish appears to be a barrier in its own right. Nothing in the design licenses generalization to other model families, scales, or tokenizers; the calibration failure in particular is a property of a scheme–tokenizer–language triple and must be re-measured for any other pairing. The scheme set is bounded in the same way. All three schemes tested here are token-level, perturbing or coupling the next-token distribution, and all three are configured as the toolkit ships them. Sentence-level semantic schemes designed precisely against paraphrase, namely SIR (Liu et al., 2024) and SemStamp (Hou et al., 2024), both implemented in MarkLLM and therefore available to us, were not evaluated, so nothing here licenses a claim about watermarking in general; the laundering result is a statement about the token-level family at default settings. A side observation: the effective-γ deviation noted below under implementation-level caveats is Qwen-specific; both rejected candidates have tokenizers whose length equals their declared vocabulary size (deviation exactly 0). Similarly, the entire generation pipeline ran on a single machine and GPU (a Quadro RTX 8000). Reproducibility was measured within that one environment: the determinism test (T4) of the version-drift battery returned token-identical sequences across repeated generations under the pinned software stack; but this is a single-environment result, not a portability claim across hardware or library versions.</w:t>
      </w:r>
    </w:p>
    <w:p>
      <w:pPr>
        <w:spacing w:after="120" w:line="276"/>
        <w:jc w:val="both"/>
      </w:pPr>
      <w:r>
        <w:rPr>
          <w:b/>
          <w:bCs/>
        </w:rPr>
        <w:t xml:space="preserve">Human-text baseline (S1).</w:t>
      </w:r>
      <w:r>
        <w:t xml:space="preserve"> The human corpus covers two registers (encyclopedic prose from Wikipedia (Wikimedia Foundation, 2023a) and older official/literary prose from Turkish Wikisource), and the inflation replicates across both (Section 4.3); newspaper, essayistic, or conversational Turkish may still behave differently. Detector keys are device-class-bound: we measured that a SynthID detector instantiated on CPU draws a different pseudo-random key stream than one on CUDA, so watermarked text scored on the wrong device class collapses to chance (mean g-score 0.498 vs. 0.530), while re-scoring on the generation device reproduces the shipped scores bit-exactly (maximum difference 5.55 × 10⁻¹⁷). The S1 human-text measurements are unaffected by the device class: no watermark is present, and the SynthID null standard deviation is 0.003 under either device class. We limit that exchangeability claim to what we measured, namely SynthID across two device classes; it is not a general statement about all three schemes, and the key sweep reported in Section 4.3 shows that KGW's null mean and tail are decidedly not key-invariant even though its variance inflation is. Any deployment must run detection on the same device class as generation, or serialize the key explicitly.</w:t>
      </w:r>
    </w:p>
    <w:p>
      <w:pPr>
        <w:spacing w:after="120" w:line="276"/>
        <w:jc w:val="both"/>
      </w:pPr>
      <w:r>
        <w:t xml:space="preserve">Sample size bounds precision: with n = 1500 windows per language, the design supports order-of-magnitude statements (the empirical rate of 3/1500 = 0.002 at z = 4 is roughly 63 times nominal, with an exact binomial interval spanning 13 to 184 times) but not claims at finer resolution, which is why we report the empirical estimate as primary and the Gaussian parametric extrapolation as approximate only. Two further bounds belong here. The key sweep covers eight keys for S1 only; extending it to the attack and AUROC axes would require regenerating the corpus under each key, which we did not do, so every robustness number in Section 4.2 is conditional on the single study key. And the length control was applied to the human-text null, not to the generated corpus, whose lengths were fixed by the generation protocol.</w:t>
      </w:r>
    </w:p>
    <w:p>
      <w:pPr>
        <w:spacing w:after="120" w:line="276"/>
        <w:jc w:val="both"/>
      </w:pPr>
      <w:r>
        <w:rPr>
          <w:b/>
          <w:bCs/>
        </w:rPr>
        <w:t xml:space="preserve">The morphological attack did not fire.</w:t>
      </w:r>
      <w:r>
        <w:t xml:space="preserve"> The attack planned as the central typological probe produced almost no edits in this corpus: the morph variant averages 1.1 edits per text, with 60.4% of texts receiving zero edits, and the broader morph_v1 variant averages 7.5 edits per text (zero edits in 4.2% of texts). The mechanism is a register mismatch: the transforms target the progressive suffix -(I)yor via the zeyrek analyzer (Bulat, 2022), and the formal expository register the model produces rarely uses that form. The measured detection effect is accordingly null (mean AUROC drop 0.000 for both variants). Where morph did fire (the n = 38 texts with nonzero edits), the per-edit slope survives our robustness battery (0.052 z per edit, 95% CI [0.022, 0.071], Theil–Sen 0.051, Spearman ρ = 0.579 at p = 0.00014) but is practically tiny: at the observed mean of 2.9 edits it implies a shift of about 0.15 z (0.052 z per edit × 2.9 edits ≈ 0.15) against a matched clean-signal mean of 11.467, invisible at AUROC level. The morph_v1 slope is retracted after the same battery: the OLS estimate of 0.026 has a 95% CI of [−0.005, 0.034] that includes zero, Theil–Sen falls to 0.005, Spearman ρ = 0.091 is not significant (p = 0.39), and the sign flips to −0.003 when the three highest-leverage points are removed (n = 92). Whether an informal-register corpus, where -(I)yor is common, changes this verdict is an open question, not a result of this paper.</w:t>
      </w:r>
    </w:p>
    <w:p>
      <w:pPr>
        <w:spacing w:after="120" w:line="276"/>
        <w:jc w:val="both"/>
      </w:pPr>
      <w:r>
        <w:rPr>
          <w:b/>
          <w:bCs/>
        </w:rPr>
        <w:t xml:space="preserve">Closed-model laundering.</w:t>
      </w:r>
      <w:r>
        <w:t xml:space="preserve"> The launder_api attack routes text through a closed commercial model (Claude Opus 5) whose deployed version can change without notice. The raw laundered outputs are stored in the repository, so every detection score on those texts can be recomputed exactly; the attack generation itself, however, may not be re-creatable against a future version of the model. The result should be read as an existence demonstration (one available external model suffices) rather than as a stable measurement of a fixed system.</w:t>
      </w:r>
    </w:p>
    <w:p>
      <w:pPr>
        <w:spacing w:after="120" w:line="276"/>
        <w:jc w:val="both"/>
      </w:pPr>
      <w:r>
        <w:rPr>
          <w:b/>
          <w:bCs/>
        </w:rPr>
        <w:t xml:space="preserve">EXP is structurally different.</w:t>
      </w:r>
      <w:r>
        <w:t xml:space="preserve"> The EXP implementation generates a fixed sequence length of 950 tokens, does not consume the shared sampling arguments, and never stops at an EOS token; its token-count standard deviation is 1.5, against 178.2 for KGW, 158.4 for SynthID, and 101.0 for the unwatermarked arm, and its 96 texts are exempt from the termination criterion (leaving 288 texts in that denominator). Any cross-scheme comparison of text quality is therefore confounded with this structural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KGW-watermarked arm, as the pre-registration fixed. Meaning preservation is therefore measured for attacks applied to KGW text, and carried to the EXP and SynthID rows of Table 11 by assumption rather than by measurement. The assumption is not idle: meaning preservation is a property of the (source, rewrite) pair, the sources differ by arm, and the paragraph above states that cross-scheme comparisons of text quality are confounded. It would cost roughly three US dollars of API charges to judge the other two arms, since the attacked texts already exist, and we regard that as the first extension anyone replicating this work should make. Two further bounds belong here: only four of the ten attacks were judged, and the pre-registered decision rule counts a verdict of "partially preserved" as preservation, which is the permissive reading.</w:t>
      </w:r>
    </w:p>
    <w:p>
      <w:pPr>
        <w:spacing w:after="120" w:line="276"/>
        <w:jc w:val="both"/>
      </w:pPr>
      <w:r>
        <w:rPr>
          <w:b/>
          <w:bCs/>
        </w:rPr>
        <w:t xml:space="preserve">Acceptance thresholds are only partly justified.</w:t>
      </w:r>
      <w:r>
        <w:t xml:space="preserve"> Of the pre-fixed corpus acceptance thresholds (word count ≥ 300, compliance ≥ 0.75, termination ≥ 0.90, contamination ≤ 0.05), the compliance value is inherited from the pre-gate criterion, but the 0.90 and 0.05 values have no external justification. They were fixed before any corpus data existed, which protects against post-hoc tuning, but no sensitivity analysis was performed, and a different choice could have produced a different corpus-validity verdict.</w:t>
      </w:r>
    </w:p>
    <w:p>
      <w:pPr>
        <w:spacing w:after="120" w:line="276"/>
        <w:jc w:val="both"/>
      </w:pPr>
      <w:r>
        <w:rPr>
          <w:b/>
          <w:bCs/>
        </w:rPr>
        <w:t xml:space="preserve">Implementation-level caveats.</w:t>
      </w:r>
      <w:r>
        <w:t xml:space="preserve"> Three smaller issues are recorded for completeness. First, KGW's effective green-list fraction deviates slightly from the configured γ = 0.5 because the implementation sizes the list from the tokenizer length rather than the declared vocabulary size; the measured effective fraction is 0.499118 (len(tokenizer) = 151,669 vs. vocabulary size 151,936; deviation -0.000882). Second, 2 of 96 KGW texts and 2 of 96 SynthID texts hit the 1800-token generation cap and are therefore truncated. Third, in the first run the attention implementation fell back to the transformers default (effectively sdpa); this was not a deliberate choice,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and SynthID 9/96, against 2/96 unwatermarked and 0/96 for EXP; in total 8 + 9 + 2 + 0 = 19 of 384 texts (4.9%), under the pre-registered 5% gate. This association was noticed after the data were collected. It is labeled exploratory and recorded as a replication hypothesis for future work, not as a finding of this study.</w:t>
      </w:r>
    </w:p>
    <w:p>
      <w:pPr>
        <w:pStyle w:val="Heading1"/>
        <w:spacing w:after="120" w:before="320"/>
      </w:pPr>
      <w:r>
        <w:rPr>
          <w:b/>
          <w:bCs/>
          <w:sz w:val="26"/>
          <w:szCs w:val="26"/>
        </w:rPr>
        <w:t xml:space="preserve">7 Reproducibility Statement</w:t>
      </w:r>
    </w:p>
    <w:p>
      <w:pPr>
        <w:spacing w:after="120" w:line="276"/>
        <w:jc w:val="both"/>
      </w:pPr>
      <w:r>
        <w:t xml:space="preserve">Every number reported in this paper is generated from the underlying data by code. The metrics module (</w:t>
      </w:r>
      <w:r>
        <w:rPr>
          <w:rFonts w:ascii="Consolas" w:cs="Consolas" w:eastAsia="Consolas" w:hAnsi="Consolas"/>
          <w:sz w:val="18"/>
          <w:szCs w:val="18"/>
        </w:rPr>
        <w:t xml:space="preserve">pilot/metrics.py</w:t>
      </w:r>
      <w:r>
        <w:t xml:space="preserve">) produces the summary report and detection tables directly from the scored corpus, and a dedicated exporter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all manuscript numbers are drawn; no number is typed by hand. A regime gate refuses to produce any report when the active configuration does not match the sealed run configuration, so numbers from mismatched settings cannot silently enter the output. Because the experiments span two environments (a local development machine and a university HPC container), the environment layer imports the scientific code rather than forking it, and a content hash over the scientific source files is recorded with each run so that the two environments can be verified to execute identical code. The upstream MarkLLM toolkit (Pan et al., 2024) is pinned to a fixed commit (c45ddc40), the prompt file is sealed by hash (SHA-256 prefix 8fcbe4074b46), and the full generation settings are recorded alongside the results.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rather than inheriting local measurements; its determinism test (T4) yielded token-identical repeated generations. 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the numeric precision used for generation. Model-free is not the same as device-independent, and we state the difference because our own measurement contradicts the stronger reading: SynthID's key stream is drawn from a device-class-dependent generator, so a watermarked text scored on the wrong device class collapses to chance (Section 6). Scoring on the generation device class reproduces the shipped scores bit-exactly.</w:t>
      </w:r>
    </w:p>
    <w:p>
      <w:pPr>
        <w:spacing w:after="120" w:line="276"/>
        <w:jc w:val="both"/>
      </w:pPr>
      <w:r>
        <w:t xml:space="preserve">The human-text corpus of S1 is reproducible by construction: each window records its Wikipedia page identifier together with the dump version (wikimedia/wikipedia, 20231101 (Wikimedia Foundation, 2023a)), so the exact text windows can be re-fetched deterministically. The corpus acceptance thresholds were fixed in code before Phase 1 began; the S1 protocol, hypotheses, and analysis plan were sealed at commit 8f8df72 before data collection; and the S2 judging protocol, blind calibration design, and decision rule were sealed at commit cbcb988 before the judging run. Code, corpus, scores, attacked texts (including the raw closed-model laundering outputs), and the pre-registration documents reside in a single repository, so the full path from raw text to every reported statistic can be re-executed.</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The author declares that no funds, grants, or other support were received during the preparation of this manuscript. [[SEÇ VE TEK CÜMLEYİ BIRAK: The commercial API charges reported in Sections 3.2 and 3.5 (USD 17.704 and USD 7.021) were met from the author's own resources. / … were met from departmental resources of the Faculty of Technology, Selçuk University.]] Computation for text generation and detection was carried out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the work reported in this paper. In particular, the author has no employment, consultancy, equity, patent, honorarium, advisory or funding relationship with Anthropic, Google DeepMind, Groq, Alibaba/Qwen, or with the developers of the MarkLLM toolkit, whose schemes, models and reference implementations are evaluated, in several cases critically, in this study.</w:t>
      </w:r>
    </w:p>
    <w:p>
      <w:pPr>
        <w:spacing w:after="120" w:line="276"/>
        <w:jc w:val="both"/>
      </w:pPr>
      <w:r>
        <w:t xml:space="preserve">Three facts are recorded here for transparency. They are not competing interests under the definition above, but a reader may reasonably wish to weigh them.</w:t>
      </w:r>
    </w:p>
    <w:p>
      <w:pPr>
        <w:spacing w:after="120" w:line="276"/>
        <w:jc w:val="both"/>
      </w:pPr>
      <w:r>
        <w:t xml:space="preserve">1. </w:t>
      </w:r>
      <w:r>
        <w:rPr>
          <w:b/>
          <w:bCs/>
        </w:rPr>
        <w:t xml:space="preserve">Purchased services, not relationships.</w:t>
      </w:r>
      <w:r>
        <w:t xml:space="preserve"> Two components of the experiment were    run on metered commercial APIs at published list prices: generation of the    external-laundering attack corpus through Anthropic's API (measured cost USD    17.704, Section 3.2) and one of the two meaning-preservation judges (measured cost    USD 7.021 for the Claude Opus 5 judge, Section 3.5). The second judge,    gpt-oss-120b, was served through Groq and its cost was not separately metered.    These are arm's-length purchases of a metered service, reported in the paper as    measurements of attack economics because attack cost is part of the threat model.    They establish no relationship with the vendors beyond that of a paying customer,    and no vendor reviewed, funded, approved or was consulted about this work.</w:t>
      </w:r>
    </w:p>
    <w:p>
      <w:pPr>
        <w:spacing w:after="120" w:line="276"/>
        <w:jc w:val="both"/>
      </w:pPr>
      <w:r>
        <w:t xml:space="preserve">2. </w:t>
      </w:r>
      <w:r>
        <w:rPr>
          <w:b/>
          <w:bCs/>
        </w:rPr>
        <w:t xml:space="preserve">A structural conflict inside the measurement, declared and mitigated.</w:t>
      </w:r>
      <w:r>
        <w:t xml:space="preserve"> One    model, Claude Opus 5, occupies two roles in the design: it produces the    </w:t>
      </w:r>
      <w:r>
        <w:rPr>
          <w:rFonts w:ascii="Consolas" w:cs="Consolas" w:eastAsia="Consolas" w:hAnsi="Consolas"/>
          <w:sz w:val="18"/>
          <w:szCs w:val="18"/>
        </w:rPr>
        <w:t xml:space="preserve">launder_api</w:t>
      </w:r>
      <w:r>
        <w:t xml:space="preserve"> texts and it serves as one of the two judges. This is a conflict    internal to the protocol rather than an interest of the author, and the    pre-registration sealed at commit </w:t>
      </w:r>
      <w:r>
        <w:rPr>
          <w:rFonts w:ascii="Consolas" w:cs="Consolas" w:eastAsia="Consolas" w:hAnsi="Consolas"/>
          <w:sz w:val="18"/>
          <w:szCs w:val="18"/>
        </w:rPr>
        <w:t xml:space="preserve">cbcb988</w:t>
      </w:r>
      <w:r>
        <w:t xml:space="preserve"> addresses it before any verdict was    read: two judges drawn from different model families, agreement of both judges    required for any </w:t>
      </w:r>
      <w:r>
        <w:rPr>
          <w:rFonts w:ascii="Consolas" w:cs="Consolas" w:eastAsia="Consolas" w:hAnsi="Consolas"/>
          <w:sz w:val="18"/>
          <w:szCs w:val="18"/>
        </w:rPr>
        <w:t xml:space="preserve">launder_api</w:t>
      </w:r>
      <w:r>
        <w:t xml:space="preserve"> verdict, and all fluency conclusions drawn from the    independent judge only. Section 4.4 reports the one conflicted cell (Opus 5 never    preferring the original on </w:t>
      </w:r>
      <w:r>
        <w:rPr>
          <w:rFonts w:ascii="Consolas" w:cs="Consolas" w:eastAsia="Consolas" w:hAnsi="Consolas"/>
          <w:sz w:val="18"/>
          <w:szCs w:val="18"/>
        </w:rPr>
        <w:t xml:space="preserve">launder_api</w:t>
      </w:r>
      <w:r>
        <w:t xml:space="preserve"> pairs, 0.0%, with a 0.0% position-flip    rate) and discards rather than interprets it.</w:t>
      </w:r>
    </w:p>
    <w:p>
      <w:pPr>
        <w:spacing w:after="120" w:line="276"/>
        <w:jc w:val="both"/>
      </w:pPr>
      <w:r>
        <w:t xml:space="preserve">3. </w:t>
      </w:r>
      <w:r>
        <w:rPr>
          <w:b/>
          <w:bCs/>
        </w:rPr>
        <w:t xml:space="preserve">Relationship to the evaluated toolkit.</w:t>
      </w:r>
      <w:r>
        <w:t xml:space="preserve"> This work is a research fork of the    MarkLLM toolkit (Apache-2.0). The author is not affiliated with its developers,    did not consult them, and they did not review the manuscript. The calibration    findings concern that toolkit's shipped default configuration.</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did not require review by an institutional research ethics committee. [[KURUMSAL KONTROL: Selçuk Üniversitesi etik kurulu insan/hayvan dışı çalışmalar için muafiyet yazısı istiyorsa, bu cümleye "; a formal exemption was confirmed by [[kurul adı]] on [[tarih]]" ekle. İstemiyorsa cümle olduğu gibi kalsın.]] Three points support that determination and are stated explicitly because the study's inputs and instruments are unusual.</w:t>
      </w:r>
    </w:p>
    <w:p>
      <w:pPr>
        <w:spacing w:after="120" w:line="276"/>
        <w:jc w:val="both"/>
      </w:pPr>
      <w:r>
        <w:t xml:space="preserve">First, </w:t>
      </w:r>
      <w:r>
        <w:rPr>
          <w:b/>
          <w:bCs/>
        </w:rPr>
        <w:t xml:space="preserve">the human-text baseline is published text, not participant data.</w:t>
      </w:r>
      <w:r>
        <w:t xml:space="preserve"> The 4,000 human windows of Study S1 are verbatim contiguous excerpts from public Wikimedia projects (Turkish and English Wikipedia, dump </w:t>
      </w:r>
      <w:r>
        <w:rPr>
          <w:rFonts w:ascii="Consolas" w:cs="Consolas" w:eastAsia="Consolas" w:hAnsi="Consolas"/>
          <w:sz w:val="18"/>
          <w:szCs w:val="18"/>
        </w:rPr>
        <w:t xml:space="preserve">20231101</w:t>
      </w:r>
      <w:r>
        <w:t xml:space="preserve">; Turkish Wikisource, dump </w:t>
      </w:r>
      <w:r>
        <w:rPr>
          <w:rFonts w:ascii="Consolas" w:cs="Consolas" w:eastAsia="Consolas" w:hAnsi="Consolas"/>
          <w:sz w:val="18"/>
          <w:szCs w:val="18"/>
        </w:rPr>
        <w:t xml:space="preserve">20231201</w:t>
      </w:r>
      <w:r>
        <w:t xml:space="preserve">), released by their authors under CC BY-SA 3.0 (or later) and GFDL. No person was recruited, contacted, observed or profiled; no personal data was collected; no attempt was made to identify article authors, and the only author-related information retained is the page identifier that makes the licence-required attribution link constructible (</w:t>
      </w:r>
      <w:r>
        <w:rPr>
          <w:rFonts w:ascii="Consolas" w:cs="Consolas" w:eastAsia="Consolas" w:hAnsi="Consolas"/>
          <w:sz w:val="18"/>
          <w:szCs w:val="18"/>
        </w:rPr>
        <w:t xml:space="preserve">ATTRIBUTION.md</w:t>
      </w:r>
      <w:r>
        <w:t xml:space="preserve">, </w:t>
      </w:r>
      <w:r>
        <w:rPr>
          <w:rFonts w:ascii="Consolas" w:cs="Consolas" w:eastAsia="Consolas" w:hAnsi="Consolas"/>
          <w:sz w:val="18"/>
          <w:szCs w:val="18"/>
        </w:rPr>
        <w:t xml:space="preserve">ATTRIBUTION_pages.tsv</w:t>
      </w:r>
      <w:r>
        <w:t xml:space="preserve">). Named individuals occur in the excerpts only incidentally, as public-figure mentions in already published encyclopedic and literary prose.</w:t>
      </w:r>
    </w:p>
    <w:p>
      <w:pPr>
        <w:spacing w:after="120" w:line="276"/>
        <w:jc w:val="both"/>
      </w:pPr>
      <w:r>
        <w:t xml:space="preserve">Second, </w:t>
      </w:r>
      <w:r>
        <w:rPr>
          <w:b/>
          <w:bCs/>
        </w:rPr>
        <w:t xml:space="preserve">the LLM judges of Study S2 are measurement instruments, not participants.</w:t>
      </w:r>
      <w:r>
        <w:t xml:space="preserve"> The 788 pairwise verdicts were produced by two software systems executing a fixed, pre-registered prompt protocol. A language model has no welfare interests, cannot be harmed, cannot give or withhold informed consent, and cannot be withdrawn from a study; its outputs are readings of an instrument in the same sense as the output of an automatic classifier, and they are validated the way an instrument is validated: with blind calibration items (identical pairs and different-prompt pairs), both-order presentation, and a pre-declared position-flip reliability bound of 30% (Sections 3.5 and 4.4). Treating these systems as human annotators would misdescribe both the protocol and the epistemic status of the resulting numbers. Human-subjects protections consequently do not apply, and none were needed.</w:t>
      </w:r>
    </w:p>
    <w:p>
      <w:pPr>
        <w:spacing w:after="120" w:line="276"/>
        <w:jc w:val="both"/>
      </w:pPr>
      <w:r>
        <w:t xml:space="preserve">Third, </w:t>
      </w:r>
      <w:r>
        <w:rPr>
          <w:b/>
          <w:bCs/>
        </w:rPr>
        <w:t xml:space="preserve">on the dual-use character of the laundering result.</w:t>
      </w:r>
      <w:r>
        <w:t xml:space="preserve"> The paper reports a working attack that degrades all three watermark schemes while preserving meaning. The author judges publication to be the responsible course. The attack requires no watermark key, no knowledge of which scheme was used and no privileged access; it consists of asking a widely available commercial model to rewrite a text, and its measured cost over the entire corpus was USD 17.704. It is therefore already available to any adversary and confers no capability that publication creates. What publication does create is a measurement that defenders can act on: the threshold recalibration prescribed in Section 5.1 and the robustness–calibration trade-off of Section 5.2 cannot be acted upon by an operator who does not know the size of the effect. The attacked texts are released so that detection countermeasures can be evaluated against the same material; no defence is proposed here, and the paper says so.</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 so no informed consent was sought or required. Reuse of the Wikimedia-derived text is governed by its CC BY-SA licence and is a matter of licence compliance and attribution (</w:t>
      </w:r>
      <w:r>
        <w:rPr>
          <w:rFonts w:ascii="Consolas" w:cs="Consolas" w:eastAsia="Consolas" w:hAnsi="Consolas"/>
          <w:sz w:val="18"/>
          <w:szCs w:val="18"/>
        </w:rPr>
        <w:t xml:space="preserve">ATTRIBUTION.md</w:t>
      </w:r>
      <w:r>
        <w:t xml:space="preserve">), not of consent.</w:t>
      </w:r>
    </w:p>
    <w:p>
      <w:pPr>
        <w:pStyle w:val="Heading2"/>
        <w:spacing w:after="120" w:before="220"/>
      </w:pPr>
      <w:r>
        <w:rPr>
          <w:b/>
          <w:bCs/>
          <w:sz w:val="22"/>
          <w:szCs w:val="22"/>
        </w:rPr>
        <w:t xml:space="preserve">Consent to publish</w:t>
      </w:r>
    </w:p>
    <w:p>
      <w:pPr>
        <w:spacing w:after="120" w:line="276"/>
        <w:jc w:val="both"/>
      </w:pPr>
      <w:r>
        <w:t xml:space="preserve">Not applicable. The manuscript contains no data, images or details relating to an identifiable individual.</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v1.0.0-paper</w:t>
      </w:r>
      <w:r>
        <w:t xml:space="preserve">, which freezes the exact code and data state from which every reported number was produced. An archived snapshot of that release is deposited at Zenodo under DOI [[10.5281/zenodo.XXXXXXX : DOI HENÜZ ATANMADI; kabul öncesi Zenodo sürümü oluşturulup bu satır doldurulacak]].</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Reproducibility provisions are described in Section 7: the upstream MarkLLM toolkit is pinned at commit </w:t>
      </w:r>
      <w:r>
        <w:rPr>
          <w:rFonts w:ascii="Consolas" w:cs="Consolas" w:eastAsia="Consolas" w:hAnsi="Consolas"/>
          <w:sz w:val="18"/>
          <w:szCs w:val="18"/>
        </w:rPr>
        <w:t xml:space="preserve">c45ddc40</w:t>
      </w:r>
      <w:r>
        <w:t xml:space="preserve">, the prompt file is content-addressed (SHA-256 prefix </w:t>
      </w:r>
      <w:r>
        <w:rPr>
          <w:rFonts w:ascii="Consolas" w:cs="Consolas" w:eastAsia="Consolas" w:hAnsi="Consolas"/>
          <w:sz w:val="18"/>
          <w:szCs w:val="18"/>
        </w:rPr>
        <w:t xml:space="preserve">8fcbe4074b46</w:t>
      </w:r>
      <w:r>
        <w:t xml:space="preserve">), every manuscript number is regenerated from the data into </w:t>
      </w:r>
      <w:r>
        <w:rPr>
          <w:rFonts w:ascii="Consolas" w:cs="Consolas" w:eastAsia="Consolas" w:hAnsi="Consolas"/>
          <w:sz w:val="18"/>
          <w:szCs w:val="18"/>
        </w:rPr>
        <w:t xml:space="preserve">paper/numbers.json</w:t>
      </w:r>
      <w:r>
        <w:t xml:space="preserve"> by </w:t>
      </w:r>
      <w:r>
        <w:rPr>
          <w:rFonts w:ascii="Consolas" w:cs="Consolas" w:eastAsia="Consolas" w:hAnsi="Consolas"/>
          <w:sz w:val="18"/>
          <w:szCs w:val="18"/>
        </w:rPr>
        <w:t xml:space="preserve">pilot/make_paper_numbers.py</w:t>
      </w:r>
      <w:r>
        <w:t xml:space="preserve">, and the three pre-registrations are commits in the repository history, each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Because the pre-registrations are commits rather than documents, their dates can be checked against the data files independently of anything the author asserts. The known limitations of the released resource are stated at its top level in </w:t>
      </w:r>
      <w:r>
        <w:rPr>
          <w:rFonts w:ascii="Consolas" w:cs="Consolas" w:eastAsia="Consolas" w:hAnsi="Consolas"/>
          <w:sz w:val="18"/>
          <w:szCs w:val="18"/>
        </w:rPr>
        <w:t xml:space="preserve">BENCHMARK.md</w:t>
      </w:r>
      <w:r>
        <w:t xml:space="preserve">.</w:t>
      </w:r>
    </w:p>
    <w:p>
      <w:pPr>
        <w:spacing w:after="120" w:line="276"/>
        <w:jc w:val="both"/>
      </w:pPr>
      <w:r>
        <w:rPr>
          <w:b/>
          <w:bCs/>
        </w:rPr>
        <w:t xml:space="preserve">The licensing of this release is deliberately not uniform, and users must consult `DATA_LICENSE.md` before reuse.</w:t>
      </w:r>
      <w:r>
        <w:t xml:space="preserve"> Different components derive from sources with different terms and are redistributed accordingly: code is Apache-2.0 (as is upstream MarkLLM); the Wikimedia-derived human windows are CC BY-SA 3.0 (or later) and GFDL and carry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deliberately restrictive reading of an unresolved question about whether a non-commercial model licence reaches model outputs; the generated, attacked and externally laundered texts and the judge verdicts are CC BY 4.0; and the detector scores and derived metrics are CC0 1.0 as facts. </w:t>
      </w:r>
      <w:r>
        <w:rPr>
          <w:rFonts w:ascii="Consolas" w:cs="Consolas" w:eastAsia="Consolas" w:hAnsi="Consolas"/>
          <w:sz w:val="18"/>
          <w:szCs w:val="18"/>
        </w:rPr>
        <w:t xml:space="preserve">DATA_LICENSE.md</w:t>
      </w:r>
      <w:r>
        <w:t xml:space="preserve"> gives the per-path table, states which readings are contested and why the restrictive one was chosen, and explains how to assemble a commercially usable subset. It is the authoritative statement; the single-licence field of the archive record cannot express this structure.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systems were used in this work in three distinct ways. They are separated here because they carry different implications, and because the third is the one on which readers are entitled to a clear statement.</w:t>
      </w:r>
    </w:p>
    <w:p>
      <w:pPr>
        <w:spacing w:after="120" w:line="276"/>
        <w:jc w:val="both"/>
      </w:pPr>
      <w:r>
        <w:rPr>
          <w:b/>
          <w:bCs/>
        </w:rPr>
        <w:t xml:space="preserve">(a) As the object of study: the attack instrument.</w:t>
      </w:r>
      <w:r>
        <w:t xml:space="preserve"> Claude Opus 5, accessed through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the external, stronger, closed-weight rewriter of the threat model. The generation settings, the measured cost (USD 17.704) and the raw laundered outputs are all in the release, so every detection score computed on those texts can be recomputed exactly. As Section 6 states, the attack generation itself may not be re-creatable against a future version of a closed commercial model, and the result is therefore reported as an existence demonstration rather than as a stable measurement of a fixed system.</w:t>
      </w:r>
    </w:p>
    <w:p>
      <w:pPr>
        <w:spacing w:after="120" w:line="276"/>
        <w:jc w:val="both"/>
      </w:pPr>
      <w:r>
        <w:rPr>
          <w:b/>
          <w:bCs/>
        </w:rPr>
        <w:t xml:space="preserve">(b) As measurement instruments: the judges.</w:t>
      </w:r>
      <w:r>
        <w:t xml:space="preserve"> Claude Opus 5 and gpt-oss-120b (served via Groq) produced the 788 pairwise meaning- and fluency-preservation verdicts of Study S2 (Sections 3.5 and 4.4), under a protocol pre-registered at commit </w:t>
      </w:r>
      <w:r>
        <w:rPr>
          <w:rFonts w:ascii="Consolas" w:cs="Consolas" w:eastAsia="Consolas" w:hAnsi="Consolas"/>
          <w:sz w:val="18"/>
          <w:szCs w:val="18"/>
        </w:rPr>
        <w:t xml:space="preserve">cbcb988</w:t>
      </w:r>
      <w:r>
        <w:t xml:space="preserve"> before the run: pairwise-only judging, both presentation orders, blind calibration items passed before any real verdict was read, a 30% position-flip reliability bound, two model families, and a requirement that both judges agree before any </w:t>
      </w:r>
      <w:r>
        <w:rPr>
          <w:rFonts w:ascii="Consolas" w:cs="Consolas" w:eastAsia="Consolas" w:hAnsi="Consolas"/>
          <w:sz w:val="18"/>
          <w:szCs w:val="18"/>
        </w:rPr>
        <w:t xml:space="preserve">launder_api</w:t>
      </w:r>
      <w:r>
        <w:t xml:space="preserve"> verdict is accepted, precisely because Opus 5 produced those texts. The full verdict file is released. These outputs are data reported in the paper, not text written into the paper.</w:t>
      </w:r>
    </w:p>
    <w:p>
      <w:pPr>
        <w:spacing w:after="120" w:line="276"/>
        <w:jc w:val="both"/>
      </w:pPr>
      <w:r>
        <w:t xml:space="preserve">Uses (a) and (b) are documented in Methods, are reported with their costs and their failure modes, and did not draft, edit or phrase any part of this manuscript.</w:t>
      </w:r>
    </w:p>
    <w:p>
      <w:pPr>
        <w:spacing w:after="120" w:line="276"/>
        <w:jc w:val="both"/>
      </w:pPr>
      <w:r>
        <w:rPr>
          <w:b/>
          <w:bCs/>
        </w:rPr>
        <w:t xml:space="preserve">(c) As a coding and drafting assistant.</w:t>
      </w:r>
      <w:r>
        <w:t xml:space="preserve"> Claude Opus 5 was used as an assistant during implementation of the experimental code and analysis pipeline and during drafting and editing of the manuscript text. This use is visible in the public repository: of the 31 commits the author contributed to this fork, 20 carry the git trailer </w:t>
      </w:r>
      <w:r>
        <w:rPr>
          <w:rFonts w:ascii="Consolas" w:cs="Consolas" w:eastAsia="Consolas" w:hAnsi="Consolas"/>
          <w:sz w:val="18"/>
          <w:szCs w:val="18"/>
        </w:rPr>
        <w:t xml:space="preserve">Co-Authored-By: Claude Opus 5 &lt;noreply@anthropic.com&gt;</w:t>
      </w:r>
      <w:r>
        <w:t xml:space="preserve">. That trailer is a machine-readable provenance marker emitted by the tooling to record that an AI assistant participated in producing a commit. </w:t>
      </w:r>
      <w:r>
        <w:rPr>
          <w:b/>
          <w:bCs/>
        </w:rPr>
        <w:t xml:space="preserve">It is not, and is not intended as, a claim of authorship.</w:t>
      </w:r>
      <w:r>
        <w:t xml:space="preserve"> No AI system is an author of this paper, and none could be: an AI system cannot take responsibility for the content, cannot approve a manuscript, cannot respond to correspondence, and cannot be accountable for the accuracy and integrity of the work, which are the conditions under which authorship is granted. The author reviewed all generated code and all generated text, verified the behaviour of the pipeline against the data, and is solely accountable for the design, the analysis, the interpretation, the claims and any errors.</w:t>
      </w:r>
    </w:p>
    <w:p>
      <w:pPr>
        <w:spacing w:after="120" w:line="276"/>
        <w:jc w:val="both"/>
      </w:pPr>
      <w:r>
        <w:t xml:space="preserve">Two structural safeguards limit what this assistance could have introduced. First, no scientific claim in this paper rests on unverified generated text: every reported number is regenerated from the underlying data by code into </w:t>
      </w:r>
      <w:r>
        <w:rPr>
          <w:rFonts w:ascii="Consolas" w:cs="Consolas" w:eastAsia="Consolas" w:hAnsi="Consolas"/>
          <w:sz w:val="18"/>
          <w:szCs w:val="18"/>
        </w:rPr>
        <w:t xml:space="preserve">paper/numbers.json</w:t>
      </w:r>
      <w:r>
        <w:t xml:space="preserve"> (Section 7), no number is typed by hand, and a regime gate refuses to emit a report when the active configuration does not match the sealed run configuration. Second, generative AI was not used to create, augment or alter the research data: the human corpus consists of verbatim Wikimedia excerpts, the generated corpus comes from Qwen3-14B under logged settings, and the detector scores are computed by the pinned MarkLLM implementations. The role of the assistant was confined to writing code that the author reviewed and to language editing of text the author wrote and approved.</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rPr>
          <w:i/>
          <w:iCs/>
        </w:rPr>
        <w:t xml:space="preserve">(Bibliographic identity of every entry verified against OpenAlex/Crossref on 2026-08-25; record: `paper/citation_verification.json`.)</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w:t>
      </w:r>
      <w:r>
        <w:t xml:space="preserve">, </w:t>
      </w:r>
      <w:r>
        <w:rPr>
          <w:i/>
          <w:iCs/>
        </w:rPr>
        <w:t xml:space="preserve">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w:t>
      </w:r>
      <w:r>
        <w:t xml:space="preserve"> (Version 1.0.0-paper) [Computer software]. Zenodo. https://doi.org/[[10.5281/zenodo.XXXXXXX : DOI HENÜZ ATANMADI]]</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w:t>
      </w:r>
      <w:r>
        <w:t xml:space="preserve">, </w:t>
      </w:r>
      <w:r>
        <w:rPr>
          <w:i/>
          <w:iCs/>
        </w:rPr>
        <w:t xml:space="preserve">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Han, X., Li, Q., Ni, J., &amp; Zulkernine, M. (2025). </w:t>
      </w:r>
      <w:r>
        <w:rPr>
          <w:i/>
          <w:iCs/>
        </w:rPr>
        <w:t xml:space="preserve">Robustness assessment and enhancement of text watermarking for Google's SynthID</w:t>
      </w:r>
      <w:r>
        <w:t xml:space="preserve"> (arXiv:2508.20228). arXiv. https://doi.org/10.48550/arXiv.2508.20228</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w:t>
      </w:r>
      <w:r>
        <w:t xml:space="preserve">, </w:t>
      </w:r>
      <w:r>
        <w:rPr>
          <w:i/>
          <w:iCs/>
        </w:rPr>
        <w:t xml:space="preserve">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w:t>
      </w:r>
      <w:r>
        <w:t xml:space="preserve">, </w:t>
      </w:r>
      <w:r>
        <w:rPr>
          <w:i/>
          <w:iCs/>
        </w:rPr>
        <w:t xml:space="preserve">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(2025). </w:t>
      </w:r>
      <w:r>
        <w:rPr>
          <w:i/>
          <w:iCs/>
        </w:rPr>
        <w:t xml:space="preserve">A linguistics-aware LLM watermarking via syntactic predictability</w:t>
      </w:r>
      <w:r>
        <w:t xml:space="preserve"> (arXiv:2510.13829). arXiv. https://doi.org/10.48550/arXiv.2510.13829</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6207398b17b6b54f713656e48bbac9838bb81e4.png"/><Relationship Id="rId8" Type="http://schemas.openxmlformats.org/officeDocument/2006/relationships/image" Target="media/d5b385396e4512f660fbe6c8689b70eae9149c5b.png"/><Relationship Id="rId9" Type="http://schemas.openxmlformats.org/officeDocument/2006/relationships/image" Target="media/72e8e0fb3caed1b321aa352e34fc34443dcc17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2026-08-30T03:27:09.414Z</dcterms:created>
  <dcterms:modified xsi:type="dcterms:W3CDTF">2026-08-30T03:27:09.414Z</dcterms:modified>
</cp:coreProperties>
</file>

<file path=docProps/custom.xml><?xml version="1.0" encoding="utf-8"?>
<Properties xmlns="http://schemas.openxmlformats.org/officeDocument/2006/custom-properties" xmlns:vt="http://schemas.openxmlformats.org/officeDocument/2006/docPropsVTypes"/>
</file>