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output are designed and evaluated predominantly on English. We measure three schemes (the green-list KGW, the Gumbel-sampling EXP, and SynthID) on Turkish, using MarkLLM with Qwen3-14B to build 384 generated texts under ten removal attacks, a pre-registered false-positive study on 2,500 Turkish and 1,500 English human windows, and a two-judge meaning-preservation study. We report three findings. First, KGW's detector is miscalibrated on human text: the null standard deviation is 1.479 in Turkish against a theoretical 1, and the shipped z = 4 threshold produces 3 exceedances in 1,500 windows, roughly 63 times nominal (exact binomial interval 13 to 184 times). The inflation is robust across eight watermark keys, though the tail count is not (3 to 143 exceedances), and it is not specific to Turkish: English shows the same tail count, and at matched token length the languages are indistinguishable. Turkish contributes exposure rather than mechanism, since its higher subword fertility turns a given reading length into roughly twice as many tokens, and inflation grows with tokens scored. Second, robustness trades off against calibration: SynthID has the cleanest null (0.003) yet is the most fragile under attack. Third, laundering through an external LLM is the only attack that both degrades detection for all three schemes and preserves meaning, though meaning was judged on KGW-sourced text alone. A planned morphological attack did not fire, which we report with its coverage measurements. We release the corpus, scores, and judge annotations as a Turkish watermark-evaluation benchmark.</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robustness–calibration trade-off: SynthID has the cleanest human-text null (standard deviation 0.003)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 2. </w:t>
      </w:r>
      <w:r>
        <w:rPr>
          <w:b/>
          <w:bCs/>
        </w:rPr>
        <w:t xml:space="preserve">A robustness–calibration trade-off across schemes.</w:t>
      </w:r>
      <w:r>
        <w:t xml:space="preserve"> SynthID shows the cleanest human-text null (standard deviation 0.003) but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 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 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We build on the MarkLLM toolkit (Pan et al., 2024), which provides reference implementations of the three schemes and their detectors under a common interface;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2025),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so subword tokenizers emit repeated suffix tokens whose distribution differs from English (Rust et al., 2021). Repeated suffix subtokens provide a candidate mechanism for interaction with context-hash schemes such as KGW when the hashing window is short. Morphological analysis for Turkish is available through the zeyrek analyzer (Bulat, 2022), which we use both to build a morphological attack and to verify that its edits are grammatical.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Kuditipudi et al., 2024)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Finally, we give an assumption-free exact test: treating the four watermarked and four clean scores within a prompt as exchangeable under the null, complete separation in a single prompt has probability 1/70, and across 24 independent prompts the one-sided exact p-value is 10⁻⁴⁴·³.</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tests against the nominal rate under Bonferroni correction across the 33 cells.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pairs, every pair presented in both orders, giving 80 ordered comparisons per condition per judge.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Kuditipudi et al., 2024)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The exact p-value assumes only within-prompt exchangeability.</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Exact one-sided p</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right"/>
            </w:pPr>
            <w:r>
              <w:rPr>
                <w:sz w:val="17"/>
                <w:szCs w:val="17"/>
              </w:rPr>
              <w:t xml:space="preserve">10^-44.3</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test with Bonferroni correction over the 33 cells, 2 cells depart significantly from nominal (EXP/launder_api, SynthID/morph_v1+dia).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has the cleanest null distribution on human text, an inverse pattern between attack robustness and null-distribution behavior that we return to in the Discussion.</w:t>
      </w:r>
    </w:p>
    <w:p>
      <w:pPr>
        <w:spacing w:after="60" w:before="180"/>
        <w:jc w:val="center"/>
      </w:pPr>
      <w:r>
        <w:drawing>
          <wp:inline distT="0" distB="0" distL="0" distR="0">
            <wp:extent cx="539115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4057650"/>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The robustness–calibration trade-off. Horizontal axis: null standard deviation on human Turkish (log scale; smaller = better calibrated). Vertical axis: AUROC under external laundering with clustered 95% CIs (lower = more fragile). SynthID occupies the clean-null/fragile corner; KGW the inflated-null/robust corner.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of the eight, so the 63× headline is the most conservative reading available and the median key would give roughly 147×.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attribute it to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but it is mediated by tokenization rather than produced by morphology acting on the hash.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pairs per condition presented in both orders (n = 80 ordered comparisons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(n = 80 ordered comparisons per cell).</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The defensible statement is that laundering does not measurably degrade fluency; the data cannot support "improves". Round-trip translation is the contrast case: both judges' flip rates fall within the bound (25.0% and 10.0%) and both prefer the original (85.0% and 95.0% of pairs), so rtt produces detectable fluency loss (NLLB Team et al., 2024)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A robustness–calibration trade-off</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SynthID (Dathathri et al., 2024) has by far the cleanest human-text null (standard deviation 0.003 on Turkish, 0.004 on English; zero config-threshold false positives on the 1500 Turkish windows), yet it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Kuditipudi et al., 2024)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(Kirchenbauer et al., 2023) and distortion-free (Kuditipudi et al., 2024) schemes we also test.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sentence-level semantic schemes noted in Section 2 (Hou et al., 2024; Liu et al., 2024), which we did not evaluate, degrade more gracefully than the three token-level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are token-level, perturbing or coupling the next-token distribution, and all three are configured as the toolkit ships them. Sentence-level semantic schemes designed precisely against paraphrase, namely SIR (Liu et al., 2024) and SemStamp (Hou et al., 2024), both implemented in MarkLLM and therefore available to us, were not evaluated, so nothing here licenses a claim about watermarking in general; the laundering result is a statement about the token-level family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[[SEÇ VE TEK CÜMLEYİ BIRAK: The commercial API charges reported in Sections 3.2 and 3.5 (USD 17.704 and USD 7.021) were met from the author's own resources. / … were met from departmental resources of the Faculty of Technology, Selçuk University.]]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[[KURUMSAL KONTROL: Selçuk Üniversitesi etik kurulu insan/hayvan dışı çalışmalar için muafiyet yazısı istiyorsa, bu cümleye "; a formal exemption was confirmed by [[kurul adı]] on [[tarih]]" ekle. İstemiyorsa cümle olduğu gibi kalsın.]]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robustness–calibration trade-off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v1.1.0-paper</w:t>
      </w:r>
      <w:r>
        <w:t xml:space="preserve">, which freezes the exact code and data state from which every reported number was produced. An archived snapshot of that release is deposited at Zenodo under DOI [[10.5281/zenodo.XXXXXXX : DOI HENÜZ ATANMADI; kabul öncesi Zenodo sürümü oluşturulup bu satır doldurulacak]].</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Because the pre-registrations are commits rather than documents, their dates can be checked against the data files independently of anything the author asserts.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single-licence field of the archive record cannot express this structure.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stronger, closed-weight rewriter of the threat model.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rPr>
          <w:i/>
          <w:iCs/>
        </w:rPr>
        <w:t xml:space="preserve">(Bibliographic identity of every entry verified against OpenAlex/Crossref on 2026-08-25; record: `paper/citation_verification.json`.)</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1.0.0-paper) [Computer software]. Zenodo. https://doi.org/[[10.5281/zenodo.XXXXXXX : DOI HENÜZ ATANMADI]]</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w:t>
      </w:r>
      <w:r>
        <w:rPr>
          <w:i/>
          <w:iCs/>
        </w:rPr>
        <w:t xml:space="preserve">Robustness assessment and enhancement of text watermarking for Google's SynthID</w:t>
      </w:r>
      <w:r>
        <w:t xml:space="preserve"> (arXiv:2508.20228). arXiv. https://doi.org/10.48550/arXiv.2508.20228</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(2025). </w:t>
      </w:r>
      <w:r>
        <w:rPr>
          <w:i/>
          <w:iCs/>
        </w:rPr>
        <w:t xml:space="preserve">A linguistics-aware LLM watermarking via syntactic predictability</w:t>
      </w:r>
      <w:r>
        <w:t xml:space="preserve"> (arXiv:2510.13829). arXiv. https://doi.org/10.48550/arXiv.2510.13829</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d5b385396e4512f660fbe6c8689b70eae9149c5b.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2026-08-30T03:39:12.456Z</dcterms:created>
  <dcterms:modified xsi:type="dcterms:W3CDTF">2026-08-30T03:39:12.457Z</dcterms:modified>
</cp:coreProperties>
</file>

<file path=docProps/custom.xml><?xml version="1.0" encoding="utf-8"?>
<Properties xmlns="http://schemas.openxmlformats.org/officeDocument/2006/custom-properties" xmlns:vt="http://schemas.openxmlformats.org/officeDocument/2006/docPropsVTypes"/>
</file>