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ind w:left="360" w:hanging="360"/>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2025),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so subword tokenizers emit repeated suffix tokens whose distribution differs from English (Rust et al., 2021). Repeated suffix subtokens provide a candidate mechanism for interaction with context-hash schemes such as KGW when the hashing window is short. Morphological analysis for Turkish is available through the zeyrek analyzer (Bulat, 2022), which we use both to build a morphological attack and to verify that its edits are grammatical.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Kuditipudi et al., 2024)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Kuditipudi et al., 2024)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Team et al., 2024)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Kuditipudi et al., 2024)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(Kirchenbauer et al., 2023) and distortion-free (Kuditipudi et al., 2024) schemes we also test.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sentence-level semantic schemes noted in Section 2 (Hou et al., 2024; Liu et al., 2024), which we did not evaluate, degrade more gracefully than the three token-level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are token-level, perturbing or coupling the next-token distribution, and all three are configured as the toolkit ships them. Sentence-level semantic schemes designed precisely against paraphrase, namely SIR (Liu et al., 2024) and SemStamp (Hou et al., 2024), both implemented in MarkLLM and therefore available to us, were not evaluated, so nothing here licenses a claim about watermarking in general; the laundering result is a statement about the token-level family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The commercial API charges reported in Sections 3.2 and 3.5 (USD 17.704 and USD 7.021) were met from the author's own resources.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ind w:left="360" w:hanging="360"/>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ind w:left="360" w:hanging="360"/>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ind w:left="360" w:hanging="360"/>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w:t>
      </w:r>
      <w:r>
        <w:rPr>
          <w:i/>
          <w:iCs/>
        </w:rPr>
        <w:t xml:space="preserve">Robustness assessment and enhancement of text watermarking for Google's SynthID</w:t>
      </w:r>
      <w:r>
        <w:t xml:space="preserve"> (arXiv:2508.20228). arXiv. https://doi.org/10.48550/arXiv.2508.20228</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(2025). </w:t>
      </w:r>
      <w:r>
        <w:rPr>
          <w:i/>
          <w:iCs/>
        </w:rPr>
        <w:t xml:space="preserve">A linguistics-aware LLM watermarking via syntactic predictability</w:t>
      </w:r>
      <w:r>
        <w:t xml:space="preserve"> (arXiv:2510.13829). arXiv. https://doi.org/10.48550/arXiv.2510.13829</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2026-08-30T04:00:55.382Z</dcterms:created>
  <dcterms:modified xsi:type="dcterms:W3CDTF">2026-08-30T04:00:55.383Z</dcterms:modified>
</cp:coreProperties>
</file>

<file path=docProps/custom.xml><?xml version="1.0" encoding="utf-8"?>
<Properties xmlns="http://schemas.openxmlformats.org/officeDocument/2006/custom-properties" xmlns:vt="http://schemas.openxmlformats.org/officeDocument/2006/docPropsVTypes"/>
</file>