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increases exposure to the same failure.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area under the receiver operating characteristic curve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and are no longer independent. We put this forward as a proposed mechanism for the calibration results below. We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analyser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accounts for the corpus's dependence structure.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We also report the full realized false-positive table, since a threshold calibrated on clean negatives need not keep its nominal rate under attack.</w:t>
      </w:r>
    </w:p>
    <w:p>
      <w:pPr>
        <w:spacing w:after="120" w:line="276"/>
        <w:jc w:val="both"/>
      </w:pPr>
      <w:r>
        <w:t xml:space="preserve">Three findings follow, and because each is bounded in a different way the contribution list below states each with its own scope. The headline is a calibration failure on human Turkish: the KGW null standard deviation is 1.479 against a theoretical 1, and the shipped z = 4 threshold flags 3 of 1,500 excerpts, roughly 63 times nominal. Two of the three pre-registered S1 hypotheses are confirmed. The third, which attributed the inflation to Turkish rather than English, does not survive a length control we added after pre-registration, so Turkish worsens a failure common to both languages instead of creating a Turkish-specific one.</w:t>
      </w:r>
    </w:p>
    <w:p>
      <w:pPr>
        <w:spacing w:after="120" w:line="276"/>
        <w:jc w:val="both"/>
      </w:pPr>
      <w:r>
        <w:t xml:space="preserve">We also report a negative result. The study was originally motivated by the conjecture that Turkish morphology would itself furnish a meaning-preserving removal attack. It does not, on this corpus. The transforms target progressive -(I)yor forms that the formal register the generator produces rarely contains, so coverage is too low to move detection at all. Section 6 gives the edit counts, the surviving v0 slope and the retracted v1 slope.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detector with the lowest human-text flag rate is the most fragile.</w:t>
      </w:r>
      <w:r>
        <w:t xml:space="preserve"> At its own shipped threshold SynthID falsely flags none of the 1,500 human Turkish windows, against 3 for KGW and 13 for EXP, but it takes the largest attack losses (AUROC 0.816 under round-trip translation, 0.747 under laundering), and is the more fragile scheme in all four of the six paired comparisons it enters, each with a Holm-adjusted p below .05 within that six-test family (the family was fixed before the per-scheme results were seen, and the two attack conditions were designated on an independent pilot cohort, Section 3.3). KGW and EXP are not separated by these data.</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w:t>
      </w:r>
    </w:p>
    <w:p>
      <w:pPr>
        <w:spacing w:after="120" w:line="276"/>
        <w:ind w:left="360" w:hanging="360"/>
        <w:jc w:val="both"/>
      </w:pPr>
      <w:r>
        <w:t xml:space="preserve">4. </w:t>
      </w:r>
      <w:r>
        <w:rPr>
          <w:b/>
          <w:bCs/>
        </w:rPr>
        <w:t xml:space="preserve">A documented negative result and the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and an automated check compares the manuscript's two inferential tables against that output cell by cell. Confidence intervals are prompt-clustered. Degenerate cells report counted separation descriptively, with no p-value attached. Exploratory observations are labelled as exploratory, and where a later control overturned a pre-registered conclusion we report the reversal.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behaviour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equalizes watermark strength before comparing schemes and evaluates generation and detection across nine tasks. Mark My Words (Piet et al., 2025) scores schemes on quality, the number of tokens needed for detection, and tamper resistance. WaterPark (Liang et al., 2025) assembles ten watermarkers against twelve attacks in one platform. All three are cross-scheme and English-centred, and all three calibrate against model-generated negatives. We add a human-written negative distribution in a language none of them covers, together with register, token-length and watermark-key controls on that distribution, an axis orthogonal to theirs. Our contribution is therefore specific to one language and one negative distribution and does not amount to a more general benchmark.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All experiments pin MarkLLM commit c45ddc40 so that scheme behaviour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optimization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optimization and no probing. Translation-based removal is likewise established, both as round-trip translation (He et al., 2024) and as cross-lingual summarization (Ganesan, 2025). So is the character-level family our diacritic-stripping attacks belong to: Z. Zhang et al. (2026) show that character-level edits such as typos, swaps and homoglyphs are disproportionately effective because they disrupt tokenization, so a single edit shifts many tokens at once. The Turkish-specific part is the ecology: writing ç, ğ, ı, ö, ş, ü as ASCII is ordinary keyboard practice, so the perturbation arrives in ordinary text at rates an attack model would not predict. On this axis we therefore contribute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also a language whose resources have been surveyed critically: Çöltekin et al. (2023) catalogue the available corpora and lexical resources and document persistent gaps in accessibility, licensing and register coverage, which is part of why we release the evaluation material here as a documented resource.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(they alter morphology to insert a signal, we alter it to strip one), but it is the closest linguistic antecedent to our morphological attack, and using Turkish morphology to manipulate a watermark is not new here. Morphological analysis for Turkish is available through the zeyrek analyser (Bulat, 2022), an alpha-stage partial port of Zemberek, which we use to build that attack and, in the re-inflection variant only, to check that the edited form still parses to the same lemma. That check certifies word-level morphological analysability, not sentence-level grammaticality. Section 3.2 states the limit and the subordinate-clause variant carries no analyser check at all. The closest antecedent, however, calibrates against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The SynthID processor state is also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easy to misread as threshold tuning, so the sequence is set out here.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The calibration changed the instruction and left the bar unchanged.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and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while dia50 converts each occurrence independently with probability 0.5, imitating informal keyboard usage. The morphological attacks generate candidate edits by rule. The re-inflection transform accepts an edit only if the zeyrek analyser (Bulat, 2022) re-parses the result to the same lemma. The subordinate-clause alternation is a purely regular substitution with no analyser check, although its edits are counted the same way. Same-lemma reparsing is a filter, not a guarantee of grammaticality or of preserved meaning, and we did not validate the edits with human annotators. The transforms are as follows. morph (v0) applies a progressive-to-formal re-inflection (-Iyor to -mAktAdIr) and a subordinate-clause alternation. morph_v1 also drops copular suffixes, raising coverage. Measured coverage is low by construction of the register the model produces: morph makes a mean of 1.14 edits per text with 60.4% of texts receiving zero edits, while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USD 17.704, is reported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artefact.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this artefact. The cap is now derived from the generation budget, and the episode is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instead of rows. Analytic intervals for this estimand exist (Newcombe, 2006), but they assume independence within each class and lose their coverage at the boundary values that the degenerate cells reported in Section 4.1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(Section 4.1):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artefact.</w:t>
      </w:r>
    </w:p>
    <w:p>
      <w:pPr>
        <w:spacing w:after="120" w:line="276"/>
        <w:jc w:val="both"/>
      </w:pPr>
      <w:r>
        <w:t xml:space="preserve">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The full 33-cell table (3 schemes by 11 conditions, the untransformed clean reference included) of realized FPR at that threshold on the corresponding negatives is reported as Online Resource 1,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The two conditions carried into the focused comparisons, rtt and launder_api, were not chosen on the study data. They were the two most destructive attacks in an earlier pilot cohort generated with a different model (Qwen2.5-3B-Instruct) that failed the corpus acceptance gate, and the pilot report designated them as such in writing before the study corpus was generated. The pilot report, its detection table and its environment record are released as audit material (</w:t>
      </w:r>
      <w:r>
        <w:rPr>
          <w:rFonts w:ascii="Consolas" w:cs="Consolas" w:eastAsia="Consolas" w:hAnsi="Consolas"/>
          <w:sz w:val="18"/>
          <w:szCs w:val="18"/>
        </w:rPr>
        <w:t xml:space="preserve">audit/pilot_20260818/</w:t>
      </w:r>
      <w:r>
        <w:t xml:space="preserve">). The pilot corpus itself is not. Two limits of that record are stated with it. Its timestamps are local files, as for the pre-registrations (Section 7). And the analysis code that fixes the pair was written after the study corpus had been scored, so the record shows that the designation preceded the study data but cannot show that the study's own aggregate ranking, reported in Section 4.2, which reproduced the pilot ordering, played no part in confirming it. Selection on data disjoint from the test data does not inflate the type I error of the test, whatever the quality of the selecting cohort. Had the pilot ordering been uninformative, the pair carried forward would have been an arbitrary one and the comparisons on the study corpus would still be valid, only less likely to detect anything. We therefore treat the pair as fixed on data disjoint from the data the comparisons are computed on, report the multiplicity adjustments of Section 4.2 as familywise within their displayed families, and state this provenance in place of either a full pre-specification claim or a post-selection label. The test family built on the pair was fixed before the per-scheme results were seen. For the scheme-pairwise comparison the point is moot in any case: the pilot ranking averages over schemes, whereas those tests compare schemes within a condition, so the quantity that designated the conditions is not the quantity being tested.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 two-sided exact paired sign-flip permutation test as the primary p-value, conditional on within-prompt exchangeability of the two attack outcomes. That exchangeability is an assumption. The two conditions are substantively different transformations, not randomly assigned labels, so exchangeability is a modelling assumption about the null and not something randomization delivers. The pairing does supply what the withdrawn test of the degenerate cells lacked: a matched unit (swapping the two conditions within a prompt maps onto flipping the sign of that prompt's difference) and a comparator that is invariant to the swap. Alongside it we report a Wilcoxon signed-rank test using Pratt's convention, which ranks zero differences rather than discarding them. We also report the mean rate difference with a prompt-clustered bootstrap interval, because a p-value alone does not convey the size of the effect. That interval resamples prompt clusters jointly across the clean negatives and both attack arms and re-derives the threshold inside every replicate, so it carries the uncertainty of the calibration sample. The permutation p-value remains conditional on the observed calibration sample. An earlier version of this comparison ran on the per-prompt mean raw statistic instead. That test is internally valid (within a scheme the scale is fixed), but it estimates mean detector-score displacement, not the change in detection at the operating threshold that the surrounding text describes.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artefact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from different model families are used: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favour their own generations. The pre-registration therefore requires agreement of both judges for any launder_api verdict, and fluency conclusions are drawn only from the independent judge. Position bias is a documented failure mode of pairwise LLM judging.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behaviour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and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against the clean condition, averaged over schemes (Fig. 1). Two dominate: external laundering at 0.158 and round-trip translation at 0.091. The diacritic family produces small but non-zero drops, self-paraphrase attacks are near zero, and the two purely morphological attacks drop exactly 0.000, a negative result analysed in Section 6. The instructive contrast is within the laundering pair. Routed through the generator itself the attack is nearly harmless (0.008), while the same operation through an external model is the strongest observed, taking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771900"/>
                    </a:xfrm>
                    <a:prstGeom prst="rect">
                      <a:avLst/>
                    </a:prstGeom>
                  </pic:spPr>
                </pic:pic>
              </a:graphicData>
            </a:graphic>
          </wp:inline>
        </w:drawing>
      </w:r>
    </w:p>
    <w:p>
      <w:pPr>
        <w:spacing w:after="120" w:line="276"/>
        <w:jc w:val="both"/>
      </w:pPr>
      <w:r>
        <w:rPr>
          <w:b/>
          <w:bCs/>
        </w:rPr>
        <w:t xml:space="preserve">Fig. 1</w:t>
      </w:r>
      <w: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8"/>
          <w:szCs w:val="18"/>
        </w:rPr>
        <w:t xml:space="preserve">paper/make_figures.py</w:t>
      </w:r>
      <w:r>
        <w:t xml:space="preserve"> from </w:t>
      </w:r>
      <w:r>
        <w:rPr>
          <w:rFonts w:ascii="Consolas" w:cs="Consolas" w:eastAsia="Consolas" w:hAnsi="Consolas"/>
          <w:sz w:val="18"/>
          <w:szCs w:val="18"/>
        </w:rPr>
        <w:t xml:space="preserve">results/detection_metrics.csv</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and rtt to 0.594, 0.792 and 0.312 (Table 5). These are small-sample estimates, and their prompt-clustered intervals are wide, spanning [0.198, 0.729] for KGW under launder_api and [0.073, 0.385] for SynthID. The ordering among schemes at a fixed attack should therefore not be read from these point values, and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Laundering versus translation.</w:t>
      </w:r>
      <w:r>
        <w:t xml:space="preserve"> We compare launder_api against rtt on per-prompt detection rates at each scheme's clean-calibrated threshold (n = 24 prompts, as row-level tests would violate the clustering structure identified above). The direction is consistent in all three schemes: the mean per-prompt detection rate is lower under launder_api, by 0.167 for KGW, 0.302 for EXP and 0.063 for SynthID. Only EXP falls below the Bonferroni threshold of the displayed three-scheme family (two-sided exact sign-flip permutation p = 0.012 against α = 0.0167). KGW's uncorrected p is 0.024, above that threshold, and SynthID's is 0.415, far from it. The pair of conditions was designated on an independent pilot cohort (Section 3.3), so the Bonferroni decision is read as familywise within the three-scheme family, with the provenance limit stated there. The effect sizes carry the result in any case. The direction is the same in all three schemes, and the estimated size of the effect is largest for EXP. The marginal, uncorrected 95% intervals exclude zero for EXP, [−0.510, −0.115], and for KGW, [−0.271, −0.052], and include it for SynthID, [−0.188, +0.042]. KGW's interval excludes zero while its p sits above the Bonferroni threshold. The two are compatible: a marginal interval and a corrected decision at α = 0.0167 control different error rates, and both are reported. Under the within-prompt exchangeability assumption of Section 3.3, and conditional on the selection just described, the evidence for laundering being the more destructive of the two is strongest for EXP and weakest for SynthID.</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The two conditions were designated on an independent pilot cohort before the study corpus existed (Section 3.3), so the Bonferroni adjustment (over the 3 schemes, α = 0.05/3 ≈ 0.0167) is a familywise decision within this family. In the last column, n.s. = not significant. Δ is the mean per-prompt rate difference (launder_api − rtt, negative = laundering more destructive) with its marginal, uncorrected prompt-clustered bootstrap 95% CI, which resamples clusters jointly across the clean negatives and both attack arms and re-derives the threshold in every replicate. Because a rate over four seeds takes only five values, "non-zero" gives the number of prompt pairs with a non-zero difference. "TPR laund." is the detection rate under launder_api. "Perm. p" is the two-sided exact paired sign-flip permutation test over the non-zero pairs, conditional on the observed calibration sample.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[−0.271,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[−0.510, −0.115]</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[−0.188, +0.042]</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Holm-corrected) was specified before the per-scheme results were inspected (Section 3.3). The two conditions the family is built on were designated on an independent pilot cohort (Section 3.3), and the axis of that designation is orthogonal to the contrast in any case: the pilot ranking averages over schemes, whereas these tests compare schemes within a condition. The Holm adjustment therefore retains its ordinary interpretation over the six displayed tests. Within that family SynthID is the more fragile scheme in every comparison it enters: all four tests involving SynthID have Holm-adjusted p-values below .05, with mean rate differences from 0.177 to 0.479 (Table 6). KGW and EXP are not separated by these data under either attack (p = 0.104 and p = 0.513), which at n = 24 is a failure to reject and not evidence of equivalence.</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 The two conditions in which the tests are computed were designated on an independent pilot cohort (Section 3.3). The adjustment is interpreted within the six displayed tests.</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0.0003</w:t>
            </w:r>
          </w:p>
        </w:tc>
        <w:tc>
          <w:tcPr>
            <w:tcW w:type="dxa" w:w="1216"/>
            <w:tcMar>
              <w:top w:type="dxa" w:w="60"/>
              <w:left w:type="dxa" w:w="100"/>
              <w:bottom w:type="dxa" w:w="60"/>
              <w:right w:type="dxa" w:w="100"/>
            </w:tcMar>
          </w:tcPr>
          <w:p>
            <w:pPr>
              <w:spacing w:after="0"/>
              <w:jc w:val="right"/>
            </w:pPr>
            <w:r>
              <w:rPr>
                <w:sz w:val="17"/>
                <w:szCs w:val="17"/>
              </w:rPr>
              <w:t xml:space="preserve">0.0083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0.0012</w:t>
            </w:r>
          </w:p>
        </w:tc>
        <w:tc>
          <w:tcPr>
            <w:tcW w:type="dxa" w:w="1216"/>
            <w:tcMar>
              <w:top w:type="dxa" w:w="60"/>
              <w:left w:type="dxa" w:w="100"/>
              <w:bottom w:type="dxa" w:w="60"/>
              <w:right w:type="dxa" w:w="100"/>
            </w:tcMar>
          </w:tcPr>
          <w:p>
            <w:pPr>
              <w:spacing w:after="0"/>
              <w:jc w:val="right"/>
            </w:pPr>
            <w:r>
              <w:rPr>
                <w:sz w:val="17"/>
                <w:szCs w:val="17"/>
              </w:rPr>
              <w:t xml:space="preserve">0.0100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0.2396</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0.0034</w:t>
            </w:r>
          </w:p>
        </w:tc>
        <w:tc>
          <w:tcPr>
            <w:tcW w:type="dxa" w:w="1216"/>
            <w:tcMar>
              <w:top w:type="dxa" w:w="60"/>
              <w:left w:type="dxa" w:w="100"/>
              <w:bottom w:type="dxa" w:w="60"/>
              <w:right w:type="dxa" w:w="100"/>
            </w:tcMar>
          </w:tcPr>
          <w:p>
            <w:pPr>
              <w:spacing w:after="0"/>
              <w:jc w:val="right"/>
            </w:pPr>
            <w:r>
              <w:rPr>
                <w:sz w:val="17"/>
                <w:szCs w:val="17"/>
              </w:rPr>
              <w:t xml:space="preserve">0.0125</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0.0126</w:t>
            </w:r>
          </w:p>
        </w:tc>
        <w:tc>
          <w:tcPr>
            <w:tcW w:type="dxa" w:w="1216"/>
            <w:tcMar>
              <w:top w:type="dxa" w:w="60"/>
              <w:left w:type="dxa" w:w="100"/>
              <w:bottom w:type="dxa" w:w="60"/>
              <w:right w:type="dxa" w:w="100"/>
            </w:tcMar>
          </w:tcPr>
          <w:p>
            <w:pPr>
              <w:spacing w:after="0"/>
              <w:jc w:val="right"/>
            </w:pPr>
            <w:r>
              <w:rPr>
                <w:sz w:val="17"/>
                <w:szCs w:val="17"/>
              </w:rPr>
              <w:t xml:space="preserve">0.0167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0.1039</w:t>
            </w:r>
          </w:p>
        </w:tc>
        <w:tc>
          <w:tcPr>
            <w:tcW w:type="dxa" w:w="1216"/>
            <w:tcMar>
              <w:top w:type="dxa" w:w="60"/>
              <w:left w:type="dxa" w:w="100"/>
              <w:bottom w:type="dxa" w:w="60"/>
              <w:right w:type="dxa" w:w="100"/>
            </w:tcMar>
          </w:tcPr>
          <w:p>
            <w:pPr>
              <w:spacing w:after="0"/>
              <w:jc w:val="right"/>
            </w:pPr>
            <w:r>
              <w:rPr>
                <w:sz w:val="17"/>
                <w:szCs w:val="17"/>
              </w:rPr>
              <w:t xml:space="preserve">0.0250</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−0.0625</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0.5127</w:t>
            </w:r>
          </w:p>
        </w:tc>
        <w:tc>
          <w:tcPr>
            <w:tcW w:type="dxa" w:w="1216"/>
            <w:tcMar>
              <w:top w:type="dxa" w:w="60"/>
              <w:left w:type="dxa" w:w="100"/>
              <w:bottom w:type="dxa" w:w="60"/>
              <w:right w:type="dxa" w:w="100"/>
            </w:tcMar>
          </w:tcPr>
          <w:p>
            <w:pPr>
              <w:spacing w:after="0"/>
              <w:jc w:val="right"/>
            </w:pPr>
            <w:r>
              <w:rPr>
                <w:sz w:val="17"/>
                <w:szCs w:val="17"/>
              </w:rPr>
              <w:t xml:space="preserve">0.0500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Online Resource 1 (Table S1)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why S1 measures false positives on human text at n ≥ 3,000 instead.</w:t>
      </w:r>
    </w:p>
    <w:p>
      <w:pPr>
        <w:spacing w:after="120" w:line="276"/>
        <w:jc w:val="both"/>
      </w:pPr>
      <w:r>
        <w:t xml:space="preserve">The full 33-cell table is provided as Online Resource 1 (Table S1). The article keeps the maximum observed rate, the number of flagged cells and the clustering caveat.</w:t>
      </w: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(Section 4.4 gives the per-scheme ΔAUROC values). Laundering through an external model is thus the only attack in this study that satisfies the rule for every scheme tested. SynthID's position is the mirror image of its calibration behaviour reported in Section 4.3 (Fig.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914775"/>
                    </a:xfrm>
                    <a:prstGeom prst="rect">
                      <a:avLst/>
                    </a:prstGeom>
                  </pic:spPr>
                </pic:pic>
              </a:graphicData>
            </a:graphic>
          </wp:inline>
        </w:drawing>
      </w:r>
    </w:p>
    <w:p>
      <w:pPr>
        <w:spacing w:after="120" w:line="276"/>
        <w:jc w:val="both"/>
      </w:pPr>
      <w:r>
        <w:rPr>
          <w:b/>
          <w:bCs/>
        </w:rPr>
        <w:t xml:space="preserve">Fig. 2</w:t>
      </w:r>
      <w: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see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8"/>
          <w:szCs w:val="18"/>
        </w:rPr>
        <w:t xml:space="preserve">paper/make_figures.py</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7 reports, per scheme and language, the null mean and standard deviation, the false-positive rate at the configuration threshold, and the false-positive rate at the threshold calibrated to 1% FPR on the 96 clean model negatives. Table 7 gives the S1 null distributions and Table 8 the two robustness controls added after pre-registration.</w:t>
      </w:r>
    </w:p>
    <w:p>
      <w:pPr>
        <w:spacing w:after="140" w:before="60"/>
        <w:jc w:val="left"/>
      </w:pPr>
      <w:r>
        <w:rPr>
          <w:b/>
          <w:bCs/>
          <w:sz w:val="17"/>
          <w:szCs w:val="17"/>
        </w:rPr>
        <w:t xml:space="preserve">Table 7.</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8.</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w:t>
      </w:r>
      <w:r>
        <w:t xml:space="preserve"> Confirmed, and it survives both controls we added afterwards. On human Turkish the KGW null standard deviation is 1.479 against a theoretical 1 (Fig. 3), and the largest observed statistic is z = 5.08. Empirically 3 of 1,500 windows exceed z = 4, a rate of 2.0 × 10⁻³ or approximately 63 times nominal. We treat this count-based estimate as primary. A Gaussian fit implies ≈ 96 times nominal, but H1 itself establishes that the Gaussian model is misspecified, so that figure corroborates the order of magnitude and is never the headline.</w:t>
      </w:r>
    </w:p>
    <w:p>
      <w:pPr>
        <w:spacing w:after="120" w:line="276"/>
        <w:jc w:val="both"/>
      </w:pPr>
      <w:r>
        <w:t xml:space="preserve">Three exceedances in 1,500 windows is a small count.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study runs on one key, the MarkLLM default, and a keyed scheme could owe its null behaviour to that particular partition. Because S1 requires no generation, we rescored all 4,000 windows under eight keys.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w:t>
      </w:r>
    </w:p>
    <w:p>
      <w:pPr>
        <w:spacing w:after="120" w:line="276"/>
        <w:jc w:val="both"/>
      </w:pPr>
      <w:r>
        <w:rPr>
          <w:b/>
          <w:bCs/>
        </w:rPr>
        <w:t xml:space="preserve">H2.</w:t>
      </w:r>
      <w:r>
        <w:t xml:space="preserve"> Not confirmed, because it does not survive a control added after pre-registration.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of windows and no longer a random sample.</w:t>
      </w:r>
    </w:p>
    <w:p>
      <w:pPr>
        <w:spacing w:after="120" w:line="276"/>
        <w:jc w:val="both"/>
      </w:pPr>
      <w:r>
        <w:t xml:space="preserve">The length control reveals a dose–response that both languages share (Table 8).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The pre-registered result stays on record, marked superseded.</w:t>
      </w:r>
    </w:p>
    <w:p>
      <w:pPr>
        <w:spacing w:after="120" w:line="276"/>
        <w:jc w:val="both"/>
      </w:pPr>
      <w:r>
        <w:rPr>
          <w:b/>
          <w:bCs/>
        </w:rPr>
        <w:t xml:space="preserve">H3.</w:t>
      </w:r>
      <w:r>
        <w:t xml:space="preserve"> Confirmed.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Document-level green counts become over-dispersed and the variance of the z-statistic exceeds its binomial value while the mean stays near zero. Fernandez et al. (2023) established this empirically before us and at a scale ours does not approach, scoring 100k multilingual Wikipedia texts under ten master keys. Their decomposition matters for reading ours: part of the gap is the Gaussian approximation itself, which exact tests close, and the residue is what repeated context windows contribute.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are consistent with length rather than morphology carrying the effect, without establishing causal mediation.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An indirect route survives: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3324225"/>
                    </a:xfrm>
                    <a:prstGeom prst="rect">
                      <a:avLst/>
                    </a:prstGeom>
                  </pic:spPr>
                </pic:pic>
              </a:graphicData>
            </a:graphic>
          </wp:inline>
        </w:drawing>
      </w:r>
    </w:p>
    <w:p>
      <w:pPr>
        <w:spacing w:after="120" w:line="276"/>
        <w:jc w:val="both"/>
      </w:pPr>
      <w:r>
        <w:rPr>
          <w:b/>
          <w:bCs/>
        </w:rPr>
        <w:t xml:space="preserve">Fig. 3</w:t>
      </w:r>
      <w: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8"/>
          <w:szCs w:val="18"/>
        </w:rPr>
        <w:t xml:space="preserve">paper/make_figures.py</w:t>
      </w:r>
      <w: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not as evidence of equivalence.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The inflation itself replicates across the two registers, and the token-matched comparison attributes it to sequence length in both languages. The two registers are analysed separately and never pooled.</w:t>
      </w:r>
    </w:p>
    <w:p>
      <w:pPr>
        <w:spacing w:after="120" w:line="276"/>
        <w:jc w:val="both"/>
      </w:pPr>
      <w:r>
        <w:rPr>
          <w:b/>
          <w:bCs/>
        </w:rPr>
        <w:t xml:space="preserve">Exploratory observations (not pre-registered).</w:t>
      </w:r>
      <w:r>
        <w:t xml:space="preserve"> First, the English KGW null mean is shifted to +0.278, whereas the Turkish mean is −0.055. No hypothesis anticipated this shift, and we record it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the interpretation is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judgements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9 reports the outcome. Meaning is preserved in every cell: for all four judged attacks and both judges, the meaning-preservation rate is 1.00. All judged pairs come from the KGW arm, as pre-registered, so this is a statement about attacks applied to KGW-watermarked text and not about the EXP or SynthID arms.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9.</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 a scheme post hoc, we evaluate the rule for each scheme separately and report all three outcomes (Table 10). Each ΔAUROC is computed as 1.000 (the clean AUROC of every scheme in Table 2) minus that scheme's attacked AUROC in Table 2.</w:t>
      </w:r>
    </w:p>
    <w:p>
      <w:pPr>
        <w:spacing w:after="140" w:before="60"/>
        <w:jc w:val="left"/>
      </w:pPr>
      <w:r>
        <w:rPr>
          <w:b/>
          <w:bCs/>
          <w:sz w:val="17"/>
          <w:szCs w:val="17"/>
        </w:rPr>
        <w:t xml:space="preserve">Table 10.</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whereas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 when a model grades its own output, and we discard the verdict. The independent judge fails in the other documented direction, order sensitivity (Zheng et al., 2023), at 42.5% to 57.5% across three of four conditions, which is what the pre-registered 30% bound was set to catch.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 calibration</w:t>
      </w:r>
    </w:p>
    <w:p>
      <w:pPr>
        <w:spacing w:after="120" w:line="276"/>
        <w:jc w:val="both"/>
      </w:pPr>
      <w:r>
        <w:t xml:space="preserve">The default KGW threshold z = 4 encodes an assumption, an approximately standard normal null, that fails on human text. The measured inflation puts the realized false-positive rate at roughly 63 times nominal, with an exact interval of 13 to 184 times (Section 4.3), so a Turkish deployment shipping the default accuses human writers at far above the rate the scheme's theory promises (Kirchenbauer et al., 2023), and the eight-key sweep places that figure at the conservative end of a range whose median is about 147 times.</w:t>
      </w:r>
    </w:p>
    <w:p>
      <w:pPr>
        <w:spacing w:after="120" w:line="276"/>
        <w:jc w:val="both"/>
      </w:pPr>
      <w:r>
        <w:t xml:space="preserve">The failure is not confined to Turkish. English shows the same inflated null and the same tail count, and at the matched token budgets we evaluated no statistically detectable difference between the two languages remains, which is a failure to detect a difference on this sample rather than a demonstration of equivalence. Turkish adds exposure rather than a different mechanism. Its subword fertility is roughly twice that of English, so a document of a given reading length is scored over roughly twice as many tokens, and the inflation grows with tokens scored. A deployment serving Turkish sits further along the same curve. Nemecek et al. (2026) reach the same structural verdict from a wider grid, reporting that cross-lingual disparity is predominantly between typological families rather than idiosyncratic to particular languages, and that every scheme they audit ships a hardcoded threshold targeting a theoretical rate under an IID-token null that multilingual generation does not satisfy. Their prescription, empirical per-deployment calibration, is ours as well. Our measurement adds the second axis.</w:t>
      </w:r>
    </w:p>
    <w:p>
      <w:pPr>
        <w:spacing w:after="120" w:line="276"/>
        <w:jc w:val="both"/>
      </w:pPr>
      <w:r>
        <w:t xml:space="preserve">That second axis is the negative distribution. Thresholds set to 1% FPR on the model's own unwatermarked outputs do not transfer to human text, yielding 7.4% on human Turkish for EXP and 4.1% on human English for SynthID (exploratory, not pre-registered). Model-generated negatives are an inadequate proxy for the human text a deployed detector actually screens, so deployments should calibrate on, and report, the negative distribution of their own language and register. Two remedies for the underlying dependence already exist and we applied neither: Fernandez et al. (2023) score only tokens whose watermark context has not already been seen in the document, and both Fernandez et al. (2023) and Khachaturov et al. (2025) recommend a wider seeding window. We measure the configuration as shipped (</w:t>
      </w:r>
      <w:r>
        <w:rPr>
          <w:rFonts w:ascii="Consolas" w:cs="Consolas" w:eastAsia="Consolas" w:hAnsi="Consolas"/>
          <w:sz w:val="18"/>
          <w:szCs w:val="18"/>
        </w:rPr>
        <w:t xml:space="preserve">prefix_length</w:t>
      </w:r>
      <w:r>
        <w:t xml:space="preserve"> = 1 with z = 4, the MarkLLM defaults; Pan et al., 2024), which is what a deployment inherits unless it knows to change it, so our figure is the cost of that default rather than a bound on the scheme family.</w:t>
      </w:r>
    </w:p>
    <w:p>
      <w:pPr>
        <w:pStyle w:val="Heading2"/>
        <w:spacing w:after="120" w:before="220"/>
      </w:pPr>
      <w:r>
        <w:rPr>
          <w:b/>
          <w:bCs/>
          <w:sz w:val="22"/>
          <w:szCs w:val="22"/>
        </w:rPr>
        <w:t xml:space="preserve">5.2 Fragility against false-positive behaviour</w:t>
      </w:r>
    </w:p>
    <w:p>
      <w:pPr>
        <w:spacing w:after="120" w:line="276"/>
        <w:jc w:val="both"/>
      </w:pPr>
      <w:r>
        <w:t xml:space="preserve">No scheme dominates both axes. That a watermarking design buys one property at the cost of another is documented. Pang et al. (2024) show that common design choices leave systems open to attack and derive fundamental trade-offs among robustness, utility and usability. The pair we measure, attack robustness against the behaviour of the null on unwatermarked text, is not among theirs, and it is the pair a deployment has to price, because one axis governs how often the watermark is missed and the other how often an innocent writer is accused. Since the three detectors report statistics on different scales, the comparable quantity is the realized false-positive rate at each scheme's own shipped threshold, on which SynthID (Dathathri et al., 2024) flags fewest and EXP most (Section 4.3). Yet SynthID is the most fragile under attack: all four prompt-level differences with a Holm-adjusted p below .05 are against it (Table 6), and under laundering its AUROC falls to 0.747 with TPR 0.250. The absolute half of that observation is not new. Han et al. (2025) report SynthID-Text degraded by meaning-preserving attacks including paraphrase and back-translation, and propose hybridizing it with a semantic scheme (Liu et al., 2024). We add that the same scheme sits at the opposite extreme on the calibration axis, measured on human text in a language neither line of work covers.</w:t>
      </w:r>
    </w:p>
    <w:p>
      <w:pPr>
        <w:spacing w:after="120" w:line="276"/>
        <w:jc w:val="both"/>
      </w:pPr>
      <w:r>
        <w:t xml:space="preserve">Across these three configurations, then, no scheme dominates on both axes at once, and the one with the lowest observed flag count on our human-text sample is also the easiest to wash out. This is a no-dominance pattern in this sample rather than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and the open defence question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with both judges classifying meaning as preserved in every judged pair drawn from the KGW arm. Its effect on fluency is indeterminate. The independent judge's position-flip rate on those pairs was 50.0%, above the pre-registered 30% bound, so no directional fluency conclusion is available in either direction, including the claim that fluency is unharmed (Section 4.4). This is a counterweight to Kirchenbauer et al. (2024), who report that after strong human paraphrase a green-list watermark remains detectable once roughly 800 tokens are observed at a nominal 10⁻⁵ false-positive rate. Our texts exceed that budget and detection still falls to a true-positive rate of 0.427 for KGW and 0.250 for SynthID. Two differences make this a boundary condition rather than a failed replication: their attack paraphrases whereas ours rewrites through a different and external model, and their token budget derives from a nominal 10⁻⁵ rate that Section 4.3 measures to be wrong on human text by one to two orders of magnitude, so the length at which detection becomes trustworthy is itself understated. Nor is it covert truncation, since the median attacked-to-source length ratio is 0.976.</w:t>
      </w:r>
    </w:p>
    <w:p>
      <w:pPr>
        <w:spacing w:after="120" w:line="276"/>
        <w:jc w:val="both"/>
      </w:pPr>
      <w:r>
        <w:t xml:space="preserve">The contrast with self-paraphrase is instructive. Asking the watermarking model itself to rewrite its output barely moves detection (mean AUROC drop 0.008 for launder, 0.001 for para), so the attack's power comes from routing text through a different model outside the defender's control, not from paraphrasing as such. It is also cheap and requires no knowledge of the scheme or key, costing USD 17.704 over the whole corpus while degrading all three schemes at once.</w:t>
      </w:r>
    </w:p>
    <w:p>
      <w:pPr>
        <w:spacing w:after="120" w:line="276"/>
        <w:jc w:val="both"/>
      </w:pPr>
      <w:r>
        <w:t xml:space="preserve">We evaluate no defences. In theory the question is largely settled but not uncontested. H. Zhang et al. (2024) prove that no strong watermarking scheme survives an attacker holding a quality oracle and a mixing perturbation oracle, and instantiate that attack against the green-list scheme (Kirchenbauer et al., 2023) we test and against the distortion-free family (Kuditipudi et al., 2024), of which we test the Aaronson–Kirchner variant rather than their edit-robust algorithms. Harel-Canada et al. (2025) test the two assumptions that argument rests on and find both fail empirically: mixing is slow, with every perturbed text still retaining traces of its origin after hundreds of edits, and automated quality oracles are unreliable at 77% accuracy, so their random-walk attacks remove watermarks 26% of the time and 10% under human quality review. Our result is compatible with theirs but differently situated. A single pass through a strong external model is not a random walk under a noisy oracle, and we did not measure quality with human raters as they did. Which picture a deployment faces depends on whether the attacker can afford one call to a capable model. The open questions are empirical: how much detection survives which rewrite budget, for which scheme, at which document length and in which language, and whether the paraphrase-oriented schemes of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comes from a single generator, Qwen3-14B (Yang et al., 2025). Five candidates were run through the same pre-registered acceptance gate and only Qwen3-14B passed, the others failing on foreign-script contamination, under-delivery, or failure to terminate (gate records are in the repository). Cross-model replication was therefore attempted and not achieved, and producing acceptable long-form Turkish appears to be a barrier in its own right. Nothing here licenses generalization to other model families, scales or tokenizers. The calibration failure in particular is a property of a scheme–tokenizer–language triple and must be re-measured for any other pairing. The scheme set is bounded the same way: all three schemes perturb or couple the next-token distribution using a key seeded from surface context, and all three run as the toolkit ships them. Schemes designed against paraphrase, SIR (Liu et al., 2024) and SemStamp (Hou et al., 2024), are implemented in MarkLLM and were not evaluated, so the laundering result is a statement about surface-context-seeded schemes at default settings, not about watermarking in general. Generation ran on a single machine and GPU. The determinism test returned token-identical sequences under the pinned stack, but that is a single-environment result.</w:t>
      </w:r>
    </w:p>
    <w:p>
      <w:pPr>
        <w:spacing w:after="120" w:line="276"/>
        <w:jc w:val="both"/>
      </w:pPr>
      <w:r>
        <w:rPr>
          <w:b/>
          <w:bCs/>
        </w:rPr>
        <w:t xml:space="preserve">Human-text baseline (S1).</w:t>
      </w:r>
      <w:r>
        <w:t xml:space="preserve"> The corpus covers two registers, encyclopedic prose from Wikipedia (Wikimedia Foundation, 2023a) and older official/literary prose from Turkish Wikisource, and the inflation replicates across both (Section 4.3). Newspaper, essayistic or conversational Turkish may behave differently. Sample size bounds precision: at n = 1,500 windows per language the design supports order-of-magnitude statements but not finer resolution, which is why the empirical estimate is primary and the Gaussian extrapolation approximate only. The key sweep covers eight keys for S1 only, so every robustness number in Section 4.2 is conditional on the single study key, and the length control was applied to the human-text null, not to the generated corpus.</w:t>
      </w:r>
    </w:p>
    <w:p>
      <w:pPr>
        <w:spacing w:after="120" w:line="276"/>
        <w:jc w:val="both"/>
      </w:pPr>
      <w:r>
        <w:rPr>
          <w:b/>
          <w:bCs/>
        </w:rPr>
        <w:t xml:space="preserve">Detector keys are device-class-bound.</w:t>
      </w:r>
      <w:r>
        <w:t xml:space="preserve"> A SynthID detector instantiated on CPU draws a different pseudo-random key stream than one on CUDA, so watermarked text scored on the wrong device class collapses to chance (mean g-score 0.498 vs. 0.530), while re-scoring on the generation device reproduces the shipped scores bit-exactly. The S1 measurements are unaffected, since no watermark is present there. The claim covers SynthID across two device classes and is not a general statement about all three schemes. Any deployment must detect on the same device class as generation, or serialize the key explicitly.</w:t>
      </w:r>
    </w:p>
    <w:p>
      <w:pPr>
        <w:spacing w:after="120" w:line="276"/>
        <w:jc w:val="both"/>
      </w:pPr>
      <w:r>
        <w:rPr>
          <w:b/>
          <w:bCs/>
        </w:rPr>
        <w:t xml:space="preserve">The morphological attack did not fire.</w:t>
      </w:r>
      <w:r>
        <w:t xml:space="preserve"> The attack planned as the central typological probe produced almost no edits: morph averages 1.1 edits per text with 60.4% of texts unchanged, morph_v1 averages 7.5 (4.2% unchanged). The mechanism is a register mismatch, since the transforms target the progressive suffix -(I)yor and the formal expository register the model produces rarely uses it. The detection effect is null (mean AUROC drop 0.000 for both). Where morph did fire (n = 38 texts with non-zero edits) the per-edit slope survives our robustness battery (0.052 z per edit, 95% CI [0.022, 0.071], Spearman ρ = 0.579, p = 0.00014) but is practically tiny: at the observed mean of 2.9 edits it implies about 0.15 z against a matched clean-signal mean of 11.467. The morph_v1 slope is retracted after the same battery, its 95% CI including zero and its sign flipping when the three highest-leverage points are removed. Whether an informal-register corpus changes this verdict is an open question.</w:t>
      </w:r>
    </w:p>
    <w:p>
      <w:pPr>
        <w:spacing w:after="120" w:line="276"/>
        <w:jc w:val="both"/>
      </w:pPr>
      <w:r>
        <w:rPr>
          <w:b/>
          <w:bCs/>
        </w:rPr>
        <w:t xml:space="preserve">Closed-model laundering.</w:t>
      </w:r>
      <w:r>
        <w:t xml:space="preserve"> The launder_api attack routes text through a closed commercial model whose deployed version can change without notice. The raw laundered outputs are stored, so every detection score recomputes exactly, but the attack generation itself may not be re-creatable against a future version. Read it as an existence demonstration rather than a stable measurement of a fixed system.</w:t>
      </w:r>
    </w:p>
    <w:p>
      <w:pPr>
        <w:spacing w:after="120" w:line="276"/>
        <w:jc w:val="both"/>
      </w:pPr>
      <w:r>
        <w:rPr>
          <w:b/>
          <w:bCs/>
        </w:rPr>
        <w:t xml:space="preserve">EXP is structurally different.</w:t>
      </w:r>
      <w:r>
        <w:t xml:space="preserve"> The EXP implementation generates a fixed 950 tokens, does not consume the shared sampling arguments, and never stops at EOS. Its token-count standard deviation is 1.5 against 178.2 for KGW, 158.4 for SynthID and 101.0 unwatermarked, and its 96 texts are exempt from the termination criterion. Any cross-scheme comparison of text quality is therefore confounded with this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 arm, as the pre-registration fixed, so meaning preservation is measured for attacks on KGW text and carried to the EXP and SynthID rows of Table 10 by assumption. The assumption matters because meaning preservation is a property of the (source, rewrite) pair, the sources differ by arm, and cross-scheme quality comparisons are confounded as just noted. Judging the other two arms would cost roughly twelve US dollars for the Opus 5 judge (a three-pair trial on the EXP arm, run after submission of the pre-registered study, extrapolates to USD 5.71 per arm once the calibration pairs, which need not be repeated, are excluded, against USD 7.021 for the KGW arm with them), since the attacked texts already exist, and is the first extension a replication should make. Only four of the ten attacks were judged, and the pre-registered rule counts "partially preserved" as preservation, which is the permissive reading.</w:t>
      </w:r>
    </w:p>
    <w:p>
      <w:pPr>
        <w:spacing w:after="120" w:line="276"/>
        <w:jc w:val="both"/>
      </w:pPr>
      <w:r>
        <w:rPr>
          <w:b/>
          <w:bCs/>
        </w:rPr>
        <w:t xml:space="preserve">Acceptance thresholds are only partly justified.</w:t>
      </w:r>
      <w:r>
        <w:t xml:space="preserve"> Of the pre-fixed thresholds (word count ≥ 300, compliance ≥ 0.75, termination ≥ 0.90, contamination ≤ 0.05), compliance is inherited from the pre-gate criterion but the 0.90 and 0.05 values have no external justification. They were fixed before any corpus data existed, which protects against post-hoc tuning, but no sensitivity analysis was performed.</w:t>
      </w:r>
    </w:p>
    <w:p>
      <w:pPr>
        <w:spacing w:after="120" w:line="276"/>
        <w:jc w:val="both"/>
      </w:pPr>
      <w:r>
        <w:rPr>
          <w:b/>
          <w:bCs/>
        </w:rPr>
        <w:t xml:space="preserve">Implementation-level caveats.</w:t>
      </w:r>
      <w:r>
        <w:t xml:space="preserve"> KGW's effective green-list fraction is 0.499118 against the configured γ = 0.5, because the implementation sizes the list from the tokenizer length (151,669) rather than the declared vocabulary size (151,936). Among the candidate models examined here this deviation was specific to the Qwen tokenizer. Both rejected candidates have tokenizer lengths equal to their declared vocabulary sizes, giving a deviation of exactly 0. Two of 96 KGW texts and 2 of 96 SynthID texts hit the 1800-token cap and are truncated. In the first run the attention implementation fell back to the transformers default. This was unintended,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SynthID 9/96, against 2/96 unwatermarked and 0/96 for EXP). In total 19 of 384 texts are affected (4.9%), which is under the pre-registered 5% gate. This was noticed after the data were collected and is recorded as an exploratory replication hypothesis.</w:t>
      </w:r>
    </w:p>
    <w:p>
      <w:pPr>
        <w:pStyle w:val="Heading1"/>
        <w:spacing w:after="120" w:before="320"/>
      </w:pPr>
      <w:r>
        <w:rPr>
          <w:b/>
          <w:bCs/>
          <w:sz w:val="26"/>
          <w:szCs w:val="26"/>
        </w:rPr>
        <w:t xml:space="preserve">7 Reproducibility Statement</w:t>
      </w:r>
    </w:p>
    <w:p>
      <w:pPr>
        <w:spacing w:after="120" w:line="276"/>
        <w:jc w:val="both"/>
      </w:pPr>
      <w:r>
        <w:t xml:space="preserve">Every number in this paper is generated from the data by code. </w:t>
      </w:r>
      <w:r>
        <w:rPr>
          <w:rFonts w:ascii="Consolas" w:cs="Consolas" w:eastAsia="Consolas" w:hAnsi="Consolas"/>
          <w:sz w:val="18"/>
          <w:szCs w:val="18"/>
        </w:rPr>
        <w:t xml:space="preserve">pilot/metrics.py</w:t>
      </w:r>
      <w:r>
        <w:t xml:space="preserve"> produces the summary report and detection tables from the scored corpus, and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the manuscript's numbers are drawn. Transcription from that file into the manuscript tables is manual. An audit of this manuscript found a p-value in Table 6 that had been copied from a superseded report rather than from </w:t>
      </w:r>
      <w:r>
        <w:rPr>
          <w:rFonts w:ascii="Consolas" w:cs="Consolas" w:eastAsia="Consolas" w:hAnsi="Consolas"/>
          <w:sz w:val="18"/>
          <w:szCs w:val="18"/>
        </w:rPr>
        <w:t xml:space="preserve">numbers.json</w:t>
      </w:r>
      <w:r>
        <w:t xml:space="preserve">, and printing it at three decimals had collapsed two values that differ by a factor of four. A regime gate refuses to produce any report when the active configuration does not match the sealed run configuration, and </w:t>
      </w:r>
      <w:r>
        <w:rPr>
          <w:rFonts w:ascii="Consolas" w:cs="Consolas" w:eastAsia="Consolas" w:hAnsi="Consolas"/>
          <w:sz w:val="18"/>
          <w:szCs w:val="18"/>
        </w:rPr>
        <w:t xml:space="preserve">pilot/dev_tutarlilik_kapisi.py</w:t>
      </w:r>
      <w:r>
        <w:t xml:space="preserve"> fails the release if a withdrawn quantity reappears in a generated artefact, if any cell of Table 5 or Table 6 diverges from </w:t>
      </w:r>
      <w:r>
        <w:rPr>
          <w:rFonts w:ascii="Consolas" w:cs="Consolas" w:eastAsia="Consolas" w:hAnsi="Consolas"/>
          <w:sz w:val="18"/>
          <w:szCs w:val="18"/>
        </w:rPr>
        <w:t xml:space="preserve">numbers.json</w:t>
      </w:r>
      <w:r>
        <w:t xml:space="preserve">, or if the release identifier is not the same in every submission file. Each of those three checks exists because the corresponding error had already occurred. The verdict words in the two tables are English renderings of the generator's labels and remain outside the gate's coverage. Because the experiments span two environments, a local machine and a university HPC container, the environment layer imports the scientific code, and a content hash over the scientific sources is recorded with each run so both environments can be verified to execute identical code.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Its determinism test returned token-identical repeated generations.</w:t>
      </w:r>
    </w:p>
    <w:p>
      <w:pPr>
        <w:spacing w:after="120" w:line="276"/>
        <w:jc w:val="both"/>
      </w:pPr>
      <w:r>
        <w:t xml:space="preserve">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generation precision. Model-free is not device-independent, and our own measurement contradicts the stronger reading. SynthID's key stream is device-class-dependent, so text scored on the wrong device class collapses to chance, while scoring on the generation device class reproduces the shipped scores bit-exactly (Section 6). The S1 corpus is reproducible by construction, since each window records its page identifier and dump version, so the exact windows can be re-fetched deterministically. Pinned versions, sealed hashes and the pre-registration commits are listed under Data, Material and/or Code availability.</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No funds, grants or other support were received for this work. The commercial API charges reported in Sections 3.2 and 3.5 (USD 17.704 and USD 7.021) were met from the author's own resources. Generation and detection ran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implementations are evaluated here, in several cases critically. This work is a research fork of MarkLLM (Apache-2.0). Its developers were not consulted and did not review the manuscript.</w:t>
      </w:r>
    </w:p>
    <w:p>
      <w:pPr>
        <w:spacing w:after="120" w:line="276"/>
        <w:jc w:val="both"/>
      </w:pPr>
      <w:r>
        <w:t xml:space="preserve">Two further facts are recorded here although they are not competing interests. Two components ran on metered commercial APIs at list prices, the external laundering corpus through Anthropic's API and the Claude Opus 5 judge. These are arm's-length purchases, reported as measurements because attack cost is part of the threat model, and no vendor funded this work, reviewed it or was consulted about it. One model occupies two roles: Claude Opus 5 both produces the </w:t>
      </w:r>
      <w:r>
        <w:rPr>
          <w:rFonts w:ascii="Consolas" w:cs="Consolas" w:eastAsia="Consolas" w:hAnsi="Consolas"/>
          <w:sz w:val="18"/>
          <w:szCs w:val="18"/>
        </w:rPr>
        <w:t xml:space="preserve">launder_api</w:t>
      </w:r>
      <w:r>
        <w:t xml:space="preserve"> texts and acts as one judge. That conflict is internal to the protocol and the pre-registration at commit </w:t>
      </w:r>
      <w:r>
        <w:rPr>
          <w:rFonts w:ascii="Consolas" w:cs="Consolas" w:eastAsia="Consolas" w:hAnsi="Consolas"/>
          <w:sz w:val="18"/>
          <w:szCs w:val="18"/>
        </w:rPr>
        <w:t xml:space="preserve">cbcb988</w:t>
      </w:r>
      <w:r>
        <w:t xml:space="preserve"> addressed it before any verdict was read. Section 4.4 reports the conflicted cell and discards it without interpretation.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The human-text baseline is published text, not participant data: the 4,000 windows of Study S1 are verbatim excerpts from public Wikimedia projects released under CC BY-SA 3.0 or later and GFDL. The study involved no recruitment, contact, observation, profiling or collection of personal data, and the only author-related information retained is the page identifier that makes the licence-required attribution link constructible. The LLM judges of Study S2 are measurement instruments, not participants. A language model has no welfare interests and cannot consent or be withdrawn, and its outputs are instrument readings, validated as such by the calibration and reliability provisions of Section 3.5.</w:t>
      </w:r>
    </w:p>
    <w:p>
      <w:pPr>
        <w:spacing w:after="120" w:line="276"/>
        <w:jc w:val="both"/>
      </w:pPr>
      <w:r>
        <w:t xml:space="preserve">On dual use, the paper reports a working attack that degrades all three schemes while preserving meaning, and the author judges publication responsible. The attack requires no key, knowledge of the scheme or privileged access, so it is already available to any adversary and publication confers no new capability. Publication creates a measurement defenders can act on, since the recalibration of Section 5.1 is useless to an operator who does not know the size of the effect. The attacked texts are released so countermeasures can be tested on the same material.</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w:t>
      </w:r>
    </w:p>
    <w:p>
      <w:pPr>
        <w:pStyle w:val="Heading2"/>
        <w:spacing w:after="120" w:before="220"/>
      </w:pPr>
      <w:r>
        <w:rPr>
          <w:b/>
          <w:bCs/>
          <w:sz w:val="22"/>
          <w:szCs w:val="22"/>
        </w:rPr>
        <w:t xml:space="preserve">Consent to publish</w:t>
      </w:r>
    </w:p>
    <w:p>
      <w:pPr>
        <w:spacing w:after="120" w:line="276"/>
        <w:jc w:val="both"/>
      </w:pPr>
      <w:r>
        <w:t xml:space="preserve">Not applicable: the study contains no data from identifiable individuals.</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v1.8.0-paper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because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v1.8.0-paper</w:t>
      </w:r>
      <w:r>
        <w:t xml:space="preserve">. Nine earlier releases (10.5281/zenodo.22168553, 22212071, 22230948, 22231200, 22249519, 22255372, 22271924, 22273963 and 22275847) predate corrections described in Sections 3.3 and 4.2, the condensation, the recalibrated interval of Table 5, the relabelling of Table 5 as an exploratory post-selection contrast and the corresponding scope statement on Table 6, the correction of a Table 6 p-value that had been copied from a superseded report, the final style and journal-format pass, the renaming of three Discussion sub-headings, the normalization of spelling to a single British (Oxford -ize) convention, the transfer of the 33-cell table to Online Resource 1, or the pilot-cohort provenance of the focused comparisons (Section 3.3). They are superseded but remain listed here,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The guarantee this gives is bounded.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conservative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itemizes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since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The number pipeline and its release gate are described in Section 7, every number originates in that pipeline, and the release gate compares the two inferential tables against it cell by cell. Section 7 also states the residual gap, that transcription into the tables is manual and that this gap has produced an error that was caught and corrected.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[PowerPoint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 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1.8.0-paper) [Computer software]. Zenodo. https://doi.org/10.5281/zenodo.22168552</w:t>
      </w:r>
    </w:p>
    <w:p>
      <w:pPr>
        <w:spacing w:after="100" w:line="276"/>
        <w:ind w:left="480" w:hanging="480"/>
        <w:jc w:val="left"/>
      </w:pPr>
      <w:r>
        <w:t xml:space="preserve">Chen, R., Wu, Y., Guo, J., &amp; Huang, H. (2025). De-mark: Watermark removal in large language models. In </w:t>
      </w:r>
      <w:r>
        <w:rPr>
          <w:i/>
          <w:iCs/>
        </w:rPr>
        <w:t xml:space="preserve">Proceedings of the 42nd International Conference on Machine Learning</w:t>
      </w:r>
      <w:r>
        <w:t xml:space="preserve"> (Proceedings of Machine Learning Research, Vol. 267, pp. 9316–9333). PMLR. https://proceedings.mlr.press/v267/chen25bq.html</w:t>
      </w:r>
    </w:p>
    <w:p>
      <w:pPr>
        <w:spacing w:after="100" w:line="276"/>
        <w:ind w:left="480" w:hanging="480"/>
        <w:jc w:val="left"/>
      </w:pPr>
      <w:r>
        <w:t xml:space="preserve">Çöltekin, Ç., Doğruöz, A. S., &amp; Çetinoğlu, Ö. (2023). Resources for Turkish natural language processing: A critical survey. </w:t>
      </w:r>
      <w:r>
        <w:rPr>
          <w:i/>
          <w:iCs/>
        </w:rPr>
        <w:t xml:space="preserve">Language Resources and Evaluation, 57</w:t>
      </w:r>
      <w:r>
        <w:t xml:space="preserve">(1), 449–488. https://doi.org/10.1007/s10579-022-09605-4</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 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 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 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207398b17b6b54f713656e48bbac9838bb81e4.png"/><Relationship Id="rId9" Type="http://schemas.openxmlformats.org/officeDocument/2006/relationships/image" Target="media/54920549ba7fb94d1103cd70b681e62e462a4229.png"/><Relationship Id="rId10" Type="http://schemas.openxmlformats.org/officeDocument/2006/relationships/image" Target="media/72e8e0fb3caed1b321aa352e34fc34443dcc170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2026-09-03T14:52:12.874Z</dcterms:created>
  <dcterms:modified xsi:type="dcterms:W3CDTF">2026-09-03T14:52:12.875Z</dcterms:modified>
</cp:coreProperties>
</file>

<file path=docProps/custom.xml><?xml version="1.0" encoding="utf-8"?>
<Properties xmlns="http://schemas.openxmlformats.org/officeDocument/2006/custom-properties" xmlns:vt="http://schemas.openxmlformats.org/officeDocument/2006/docPropsVTypes"/>
</file>