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万华化学2025年度经营简报</w:t>
      </w:r>
    </w:p>
    <w:p>
      <w:r>
        <w:t>本简报数据摘自万华化学集团股份有限公司2025年年度报告「七、近三年主要会计数据和财务指标」一节（单位：元，币种：人民币）。</w:t>
      </w:r>
    </w:p>
    <w:p>
      <w:r>
        <w:rPr>
          <w:b/>
          <w:sz w:val="24"/>
        </w:rPr>
        <w:t>一、公司概况</w:t>
      </w:r>
    </w:p>
    <w:p>
      <w:r>
        <w:t>万华化学集团股份有限公司（600309.SH）总部位于山东省烟台市，是全球领先的聚氨酯（MDI、TDI）制造商，业务涵盖聚氨酯、石化、精细化学品及新兴材料四大板块。2025年公司营业收入重回两千亿元台阶，主要受益于聚氨酯板块量价齐升与石化装置负荷提升。</w:t>
      </w:r>
    </w:p>
    <w:p>
      <w:r>
        <w:rPr>
          <w:b/>
          <w:sz w:val="24"/>
        </w:rPr>
        <w:t>二、近三年主要财务数据</w:t>
      </w:r>
    </w:p>
    <w:p>
      <w:r>
        <w:t>下表列示公司近三年主要会计数据（期末数指标为年末值；「—」为未摘录项）。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近三年主要会计数据（摘自2025年年报，单位：元）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2023年度</w:t>
            </w:r>
          </w:p>
        </w:tc>
        <w:tc>
          <w:tcPr>
            <w:tcW w:type="dxa" w:w="2160"/>
          </w:tcPr>
          <w:p>
            <w:r>
              <w:t>2024年度</w:t>
            </w:r>
          </w:p>
        </w:tc>
        <w:tc>
          <w:tcPr>
            <w:tcW w:type="dxa" w:w="2160"/>
          </w:tcPr>
          <w:p>
            <w:r>
              <w:t>2025年度</w:t>
            </w:r>
          </w:p>
        </w:tc>
      </w:tr>
      <w:tr>
        <w:tc>
          <w:tcPr>
            <w:tcW w:type="dxa" w:w="2160"/>
          </w:tcPr>
          <w:p>
            <w:r>
              <w:t>营业收入</w:t>
            </w:r>
          </w:p>
        </w:tc>
        <w:tc>
          <w:tcPr>
            <w:tcW w:type="dxa" w:w="2160"/>
          </w:tcPr>
          <w:p>
            <w:r>
              <w:t>175,360,935,668.36</w:t>
            </w:r>
          </w:p>
        </w:tc>
        <w:tc>
          <w:tcPr>
            <w:tcW w:type="dxa" w:w="2160"/>
          </w:tcPr>
          <w:p>
            <w:r>
              <w:t>182,069,119,160.94</w:t>
            </w:r>
          </w:p>
        </w:tc>
        <w:tc>
          <w:tcPr>
            <w:tcW w:type="dxa" w:w="2160"/>
          </w:tcPr>
          <w:p>
            <w:r>
              <w:t>203,234,573,814.42</w:t>
            </w:r>
          </w:p>
        </w:tc>
      </w:tr>
      <w:tr>
        <w:tc>
          <w:tcPr>
            <w:tcW w:type="dxa" w:w="2160"/>
          </w:tcPr>
          <w:p>
            <w:r>
              <w:t>利润总额</w:t>
            </w:r>
          </w:p>
        </w:tc>
        <w:tc>
          <w:tcPr>
            <w:tcW w:type="dxa" w:w="2160"/>
          </w:tcPr>
          <w:p>
            <w:r>
              <w:t>20,009,871,906.36</w:t>
            </w:r>
          </w:p>
        </w:tc>
        <w:tc>
          <w:tcPr>
            <w:tcW w:type="dxa" w:w="2160"/>
          </w:tcPr>
          <w:p>
            <w:r>
              <w:t>16,924,136,091.56</w:t>
            </w:r>
          </w:p>
        </w:tc>
        <w:tc>
          <w:tcPr>
            <w:tcW w:type="dxa" w:w="2160"/>
          </w:tcPr>
          <w:p>
            <w:r>
              <w:t>16,268,157,181.59</w:t>
            </w:r>
          </w:p>
        </w:tc>
      </w:tr>
      <w:tr>
        <w:tc>
          <w:tcPr>
            <w:tcW w:type="dxa" w:w="2160"/>
          </w:tcPr>
          <w:p>
            <w:r>
              <w:t>归属于上市公司股东的净利润</w:t>
            </w:r>
          </w:p>
        </w:tc>
        <w:tc>
          <w:tcPr>
            <w:tcW w:type="dxa" w:w="2160"/>
          </w:tcPr>
          <w:p>
            <w:r>
              <w:t>16,815,755,534.31</w:t>
            </w:r>
          </w:p>
        </w:tc>
        <w:tc>
          <w:tcPr>
            <w:tcW w:type="dxa" w:w="2160"/>
          </w:tcPr>
          <w:p>
            <w:r>
              <w:t>13,033,066,612.84</w:t>
            </w:r>
          </w:p>
        </w:tc>
        <w:tc>
          <w:tcPr>
            <w:tcW w:type="dxa" w:w="2160"/>
          </w:tcPr>
          <w:p>
            <w:r>
              <w:t>12,527,201,094.15</w:t>
            </w:r>
          </w:p>
        </w:tc>
      </w:tr>
      <w:tr>
        <w:tc>
          <w:tcPr>
            <w:tcW w:type="dxa" w:w="2160"/>
          </w:tcPr>
          <w:p>
            <w:r>
              <w:t>归属于上市公司股东的扣除非经常性损益的净利润</w:t>
            </w:r>
          </w:p>
        </w:tc>
        <w:tc>
          <w:tcPr>
            <w:tcW w:type="dxa" w:w="2160"/>
          </w:tcPr>
          <w:p>
            <w:r>
              <w:t>16,438,841,961.03</w:t>
            </w:r>
          </w:p>
        </w:tc>
        <w:tc>
          <w:tcPr>
            <w:tcW w:type="dxa" w:w="2160"/>
          </w:tcPr>
          <w:p>
            <w:r>
              <w:t>13,358,861,995.56</w:t>
            </w:r>
          </w:p>
        </w:tc>
        <w:tc>
          <w:tcPr>
            <w:tcW w:type="dxa" w:w="2160"/>
          </w:tcPr>
          <w:p>
            <w:r>
              <w:t>12,143,675,765.00</w:t>
            </w:r>
          </w:p>
        </w:tc>
      </w:tr>
      <w:tr>
        <w:tc>
          <w:tcPr>
            <w:tcW w:type="dxa" w:w="2160"/>
          </w:tcPr>
          <w:p>
            <w:r>
              <w:t>经营活动产生的现金流量净额</w:t>
            </w:r>
          </w:p>
        </w:tc>
        <w:tc>
          <w:tcPr>
            <w:tcW w:type="dxa" w:w="2160"/>
          </w:tcPr>
          <w:p>
            <w:r>
              <w:t>26,796,752,552.51</w:t>
            </w:r>
          </w:p>
        </w:tc>
        <w:tc>
          <w:tcPr>
            <w:tcW w:type="dxa" w:w="2160"/>
          </w:tcPr>
          <w:p>
            <w:r>
              <w:t>30,053,435,178.33</w:t>
            </w:r>
          </w:p>
        </w:tc>
        <w:tc>
          <w:tcPr>
            <w:tcW w:type="dxa" w:w="2160"/>
          </w:tcPr>
          <w:p>
            <w:r>
              <w:t>33,105,189,455.82</w:t>
            </w:r>
          </w:p>
        </w:tc>
      </w:tr>
      <w:tr>
        <w:tc>
          <w:tcPr>
            <w:tcW w:type="dxa" w:w="2160"/>
          </w:tcPr>
          <w:p>
            <w:r>
              <w:t>基本每股收益（元/股）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3.99</w:t>
            </w:r>
          </w:p>
        </w:tc>
      </w:tr>
      <w:tr>
        <w:tc>
          <w:tcPr>
            <w:tcW w:type="dxa" w:w="2160"/>
          </w:tcPr>
          <w:p>
            <w:r>
              <w:t>稀释每股收益（元/股）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3.99</w:t>
            </w:r>
          </w:p>
        </w:tc>
      </w:tr>
      <w:tr>
        <w:tc>
          <w:tcPr>
            <w:tcW w:type="dxa" w:w="2160"/>
          </w:tcPr>
          <w:p>
            <w:r>
              <w:t>归属于上市公司股东的净资产</w:t>
            </w:r>
          </w:p>
        </w:tc>
        <w:tc>
          <w:tcPr>
            <w:tcW w:type="dxa" w:w="2160"/>
          </w:tcPr>
          <w:p>
            <w:r>
              <w:t>88,656,204,854.29</w:t>
            </w:r>
          </w:p>
        </w:tc>
        <w:tc>
          <w:tcPr>
            <w:tcW w:type="dxa" w:w="2160"/>
          </w:tcPr>
          <w:p>
            <w:r>
              <w:t>94,625,896,066.69</w:t>
            </w:r>
          </w:p>
        </w:tc>
        <w:tc>
          <w:tcPr>
            <w:tcW w:type="dxa" w:w="2160"/>
          </w:tcPr>
          <w:p>
            <w:r>
              <w:t>108,305,459,478.31</w:t>
            </w:r>
          </w:p>
        </w:tc>
      </w:tr>
      <w:tr>
        <w:tc>
          <w:tcPr>
            <w:tcW w:type="dxa" w:w="2160"/>
          </w:tcPr>
          <w:p>
            <w:r>
              <w:t>总资产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293,333,349,744.25</w:t>
            </w:r>
          </w:p>
        </w:tc>
        <w:tc>
          <w:tcPr>
            <w:tcW w:type="dxa" w:w="2160"/>
          </w:tcPr>
          <w:p>
            <w:r>
              <w:t>323,009,018,441.98</w:t>
            </w:r>
          </w:p>
        </w:tc>
      </w:tr>
    </w:tbl>
    <w:p>
      <w:r>
        <w:rPr>
          <w:b/>
          <w:sz w:val="24"/>
        </w:rPr>
        <w:t>三、简要解读</w:t>
      </w:r>
    </w:p>
    <w:p>
      <w:r>
        <w:t>2025年公司营业收入同比增长11.62%，但归母净利润同比下降3.88%——增收不增利，主要受石化板块产品价格中枢下移与部分装置检修影响；经营活动现金流量净额同比增长10.15%，盈利质量好于账面利润表现。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