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星澜科技2025年度经营简报</w:t>
      </w:r>
    </w:p>
    <w:p>
      <w:r>
        <w:t>星澜科技（虚构演示公司）主营工业智能传感器与边缘计算设备的研发、制造与销售，产品应用于离散制造产线的状态监测与能耗管理。本简报为 ragbot docx 导入管线的验收样本，其中数字全部虚构，与任何真实公司无关。</w:t>
      </w:r>
    </w:p>
    <w:p>
      <w:r>
        <w:t>2025年，制造业智能化改造需求持续释放，公司在汽车零部件与3C电子两个行业线均实现了客户数量与单客户采购额的双增长；海外市场方面，东南亚区域完成本地化服务网点布局，出口收入占比提升至18.4%。</w:t>
      </w:r>
    </w:p>
    <w:p>
      <w:pPr>
        <w:pStyle w:val="Heading2"/>
      </w:pPr>
      <w:r>
        <w:t>主要财务指标</w:t>
      </w:r>
    </w:p>
    <w:p>
      <w:r>
        <w:t>下表列示公司近三年主要财务数据（单位：元，除标注外，虚构）。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指标</w:t>
            </w:r>
          </w:p>
        </w:tc>
        <w:tc>
          <w:tcPr>
            <w:tcW w:type="dxa" w:w="2160"/>
          </w:tcPr>
          <w:p>
            <w:r>
              <w:t>2023年度</w:t>
            </w:r>
          </w:p>
        </w:tc>
        <w:tc>
          <w:tcPr>
            <w:tcW w:type="dxa" w:w="2160"/>
          </w:tcPr>
          <w:p>
            <w:r>
              <w:t>2024年度</w:t>
            </w:r>
          </w:p>
        </w:tc>
        <w:tc>
          <w:tcPr>
            <w:tcW w:type="dxa" w:w="2160"/>
          </w:tcPr>
          <w:p>
            <w:r>
              <w:t>2025年度</w:t>
            </w:r>
          </w:p>
        </w:tc>
      </w:tr>
      <w:tr>
        <w:tc>
          <w:tcPr>
            <w:tcW w:type="dxa" w:w="2160"/>
          </w:tcPr>
          <w:p>
            <w:r>
              <w:t>营业收入（元）</w:t>
            </w:r>
          </w:p>
        </w:tc>
        <w:tc>
          <w:tcPr>
            <w:tcW w:type="dxa" w:w="2160"/>
          </w:tcPr>
          <w:p>
            <w:r>
              <w:t>612,345,678.90</w:t>
            </w:r>
          </w:p>
        </w:tc>
        <w:tc>
          <w:tcPr>
            <w:tcW w:type="dxa" w:w="2160"/>
          </w:tcPr>
          <w:p>
            <w:r>
              <w:t>745,678,901.23</w:t>
            </w:r>
          </w:p>
        </w:tc>
        <w:tc>
          <w:tcPr>
            <w:tcW w:type="dxa" w:w="2160"/>
          </w:tcPr>
          <w:p>
            <w:r>
              <w:t>876,543,200.55</w:t>
            </w:r>
          </w:p>
        </w:tc>
      </w:tr>
      <w:tr>
        <w:tc>
          <w:tcPr>
            <w:tcW w:type="dxa" w:w="2160"/>
          </w:tcPr>
          <w:p>
            <w:r>
              <w:t>归属于母公司股东的净利润（元）</w:t>
            </w:r>
          </w:p>
        </w:tc>
        <w:tc>
          <w:tcPr>
            <w:tcW w:type="dxa" w:w="2160"/>
          </w:tcPr>
          <w:p>
            <w:r>
              <w:t>58,901,234.56</w:t>
            </w:r>
          </w:p>
        </w:tc>
        <w:tc>
          <w:tcPr>
            <w:tcW w:type="dxa" w:w="2160"/>
          </w:tcPr>
          <w:p>
            <w:r>
              <w:t>81,234,567.89</w:t>
            </w:r>
          </w:p>
        </w:tc>
        <w:tc>
          <w:tcPr>
            <w:tcW w:type="dxa" w:w="2160"/>
          </w:tcPr>
          <w:p>
            <w:r>
              <w:t>102,345,678.90</w:t>
            </w:r>
          </w:p>
        </w:tc>
      </w:tr>
      <w:tr>
        <w:tc>
          <w:tcPr>
            <w:tcW w:type="dxa" w:w="2160"/>
          </w:tcPr>
          <w:p>
            <w:r>
              <w:t>扣除非经常性损益的净利润（元）</w:t>
            </w:r>
          </w:p>
        </w:tc>
        <w:tc>
          <w:tcPr>
            <w:tcW w:type="dxa" w:w="2160"/>
          </w:tcPr>
          <w:p>
            <w:r>
              <w:t>55,123,456.78</w:t>
            </w:r>
          </w:p>
        </w:tc>
        <w:tc>
          <w:tcPr>
            <w:tcW w:type="dxa" w:w="2160"/>
          </w:tcPr>
          <w:p>
            <w:r>
              <w:t>78,456,789.01</w:t>
            </w:r>
          </w:p>
        </w:tc>
        <w:tc>
          <w:tcPr>
            <w:tcW w:type="dxa" w:w="2160"/>
          </w:tcPr>
          <w:p>
            <w:r>
              <w:t>98,765,432.10</w:t>
            </w:r>
          </w:p>
        </w:tc>
      </w:tr>
      <w:tr>
        <w:tc>
          <w:tcPr>
            <w:tcW w:type="dxa" w:w="2160"/>
          </w:tcPr>
          <w:p>
            <w:r>
              <w:t>经营活动产生的现金流量净额（元）</w:t>
            </w:r>
          </w:p>
        </w:tc>
        <w:tc>
          <w:tcPr>
            <w:tcW w:type="dxa" w:w="2160"/>
          </w:tcPr>
          <w:p>
            <w:r>
              <w:t>71,234,567.89</w:t>
            </w:r>
          </w:p>
        </w:tc>
        <w:tc>
          <w:tcPr>
            <w:tcW w:type="dxa" w:w="2160"/>
          </w:tcPr>
          <w:p>
            <w:r>
              <w:t>120,345,678.90</w:t>
            </w:r>
          </w:p>
        </w:tc>
        <w:tc>
          <w:tcPr>
            <w:tcW w:type="dxa" w:w="2160"/>
          </w:tcPr>
          <w:p>
            <w:r>
              <w:t>158,900,000.00</w:t>
            </w:r>
          </w:p>
        </w:tc>
      </w:tr>
      <w:tr>
        <w:tc>
          <w:tcPr>
            <w:tcW w:type="dxa" w:w="2160"/>
          </w:tcPr>
          <w:p>
            <w:r>
              <w:t>基本每股收益（元/股）</w:t>
            </w:r>
          </w:p>
        </w:tc>
        <w:tc>
          <w:tcPr>
            <w:tcW w:type="dxa" w:w="2160"/>
          </w:tcPr>
          <w:p>
            <w:r>
              <w:t>0.61</w:t>
            </w:r>
          </w:p>
        </w:tc>
        <w:tc>
          <w:tcPr>
            <w:tcW w:type="dxa" w:w="2160"/>
          </w:tcPr>
          <w:p>
            <w:r>
              <w:t>0.84</w:t>
            </w:r>
          </w:p>
        </w:tc>
        <w:tc>
          <w:tcPr>
            <w:tcW w:type="dxa" w:w="2160"/>
          </w:tcPr>
          <w:p>
            <w:r>
              <w:t>1.06</w:t>
            </w:r>
          </w:p>
        </w:tc>
      </w:tr>
      <w:tr>
        <w:tc>
          <w:tcPr>
            <w:tcW w:type="dxa" w:w="2160"/>
          </w:tcPr>
          <w:p>
            <w:r>
              <w:t>加权平均净资产收益率</w:t>
            </w:r>
          </w:p>
        </w:tc>
        <w:tc>
          <w:tcPr>
            <w:tcW w:type="dxa" w:w="2160"/>
          </w:tcPr>
          <w:p>
            <w:r>
              <w:t>9.8%</w:t>
            </w:r>
          </w:p>
        </w:tc>
        <w:tc>
          <w:tcPr>
            <w:tcW w:type="dxa" w:w="2160"/>
          </w:tcPr>
          <w:p>
            <w:r>
              <w:t>12.4%</w:t>
            </w:r>
          </w:p>
        </w:tc>
        <w:tc>
          <w:tcPr>
            <w:tcW w:type="dxa" w:w="2160"/>
          </w:tcPr>
          <w:p>
            <w:r>
              <w:t>14.1%</w:t>
            </w:r>
          </w:p>
        </w:tc>
      </w:tr>
      <w:tr>
        <w:tc>
          <w:tcPr>
            <w:tcW w:type="dxa" w:w="2160"/>
          </w:tcPr>
          <w:p>
            <w:r>
              <w:t>研发投入（元）</w:t>
            </w:r>
          </w:p>
        </w:tc>
        <w:tc>
          <w:tcPr>
            <w:tcW w:type="dxa" w:w="2160"/>
          </w:tcPr>
          <w:p>
            <w:r>
              <w:t>61,234,567.89</w:t>
            </w:r>
          </w:p>
        </w:tc>
        <w:tc>
          <w:tcPr>
            <w:tcW w:type="dxa" w:w="2160"/>
          </w:tcPr>
          <w:p>
            <w:r>
              <w:t>82,345,678.90</w:t>
            </w:r>
          </w:p>
        </w:tc>
        <w:tc>
          <w:tcPr>
            <w:tcW w:type="dxa" w:w="2160"/>
          </w:tcPr>
          <w:p>
            <w:r>
              <w:t>103,432,098.76</w:t>
            </w:r>
          </w:p>
        </w:tc>
      </w:tr>
      <w:tr>
        <w:tc>
          <w:tcPr>
            <w:tcW w:type="dxa" w:w="2160"/>
          </w:tcPr>
          <w:p>
            <w:r>
              <w:t>研发投入占营业收入比例</w:t>
            </w:r>
          </w:p>
        </w:tc>
        <w:tc>
          <w:tcPr>
            <w:tcW w:type="dxa" w:w="2160"/>
          </w:tcPr>
          <w:p>
            <w:r>
              <w:t>10.0%</w:t>
            </w:r>
          </w:p>
        </w:tc>
        <w:tc>
          <w:tcPr>
            <w:tcW w:type="dxa" w:w="2160"/>
          </w:tcPr>
          <w:p>
            <w:r>
              <w:t>11.0%</w:t>
            </w:r>
          </w:p>
        </w:tc>
        <w:tc>
          <w:tcPr>
            <w:tcW w:type="dxa" w:w="2160"/>
          </w:tcPr>
          <w:p>
            <w:r>
              <w:t>11.8%</w:t>
            </w:r>
          </w:p>
        </w:tc>
      </w:tr>
      <w:tr>
        <w:tc>
          <w:tcPr>
            <w:tcW w:type="dxa" w:w="2160"/>
          </w:tcPr>
          <w:p>
            <w:r>
              <w:t>总资产（元）</w:t>
            </w:r>
          </w:p>
        </w:tc>
        <w:tc>
          <w:tcPr>
            <w:tcW w:type="dxa" w:w="2160"/>
          </w:tcPr>
          <w:p>
            <w:r>
              <w:t>890,123,456.78</w:t>
            </w:r>
          </w:p>
        </w:tc>
        <w:tc>
          <w:tcPr>
            <w:tcW w:type="dxa" w:w="2160"/>
          </w:tcPr>
          <w:p>
            <w:r>
              <w:t>1,012,345,678.90</w:t>
            </w:r>
          </w:p>
        </w:tc>
        <w:tc>
          <w:tcPr>
            <w:tcW w:type="dxa" w:w="2160"/>
          </w:tcPr>
          <w:p>
            <w:r>
              <w:t>1,145,678,901.23</w:t>
            </w:r>
          </w:p>
        </w:tc>
      </w:tr>
      <w:tr>
        <w:tc>
          <w:tcPr>
            <w:tcW w:type="dxa" w:w="2160"/>
          </w:tcPr>
          <w:p>
            <w:r>
              <w:t>归属于上市公司股东的净资产（元）</w:t>
            </w:r>
          </w:p>
        </w:tc>
        <w:tc>
          <w:tcPr>
            <w:tcW w:type="dxa" w:w="2160"/>
          </w:tcPr>
          <w:p>
            <w:r>
              <w:t>654,321,098.76</w:t>
            </w:r>
          </w:p>
        </w:tc>
        <w:tc>
          <w:tcPr>
            <w:tcW w:type="dxa" w:w="2160"/>
          </w:tcPr>
          <w:p>
            <w:r>
              <w:t>723,456,789.01</w:t>
            </w:r>
          </w:p>
        </w:tc>
        <w:tc>
          <w:tcPr>
            <w:tcW w:type="dxa" w:w="2160"/>
          </w:tcPr>
          <w:p>
            <w:r>
              <w:t>801,234,567.89</w:t>
            </w:r>
          </w:p>
        </w:tc>
      </w:tr>
      <w:tr>
        <w:tc>
          <w:tcPr>
            <w:tcW w:type="dxa" w:w="2160"/>
          </w:tcPr>
          <w:p>
            <w:r>
              <w:t>资产负债率</w:t>
            </w:r>
          </w:p>
        </w:tc>
        <w:tc>
          <w:tcPr>
            <w:tcW w:type="dxa" w:w="2160"/>
          </w:tcPr>
          <w:p>
            <w:r>
              <w:t>26.5%</w:t>
            </w:r>
          </w:p>
        </w:tc>
        <w:tc>
          <w:tcPr>
            <w:tcW w:type="dxa" w:w="2160"/>
          </w:tcPr>
          <w:p>
            <w:r>
              <w:t>28.5%</w:t>
            </w:r>
          </w:p>
        </w:tc>
        <w:tc>
          <w:tcPr>
            <w:tcW w:type="dxa" w:w="2160"/>
          </w:tcPr>
          <w:p>
            <w:r>
              <w:t>30.0%</w:t>
            </w:r>
          </w:p>
        </w:tc>
      </w:tr>
      <w:tr>
        <w:tc>
          <w:tcPr>
            <w:tcW w:type="dxa" w:w="2160"/>
          </w:tcPr>
          <w:p>
            <w:r>
              <w:t>存货周转率（次）</w:t>
            </w:r>
          </w:p>
        </w:tc>
        <w:tc>
          <w:tcPr>
            <w:tcW w:type="dxa" w:w="2160"/>
          </w:tcPr>
          <w:p>
            <w:r>
              <w:t>2.8</w:t>
            </w:r>
          </w:p>
        </w:tc>
        <w:tc>
          <w:tcPr>
            <w:tcW w:type="dxa" w:w="2160"/>
          </w:tcPr>
          <w:p>
            <w:r>
              <w:t>3.1</w:t>
            </w:r>
          </w:p>
        </w:tc>
        <w:tc>
          <w:tcPr>
            <w:tcW w:type="dxa" w:w="2160"/>
          </w:tcPr>
          <w:p>
            <w:r>
              <w:t>3.3</w:t>
            </w:r>
          </w:p>
        </w:tc>
      </w:tr>
    </w:tbl>
    <w:p>
      <w:r>
        <w:t>下图展示了公司近三年营业收入的增长趋势（示意图，虚构数据）。</w:t>
      </w:r>
    </w:p>
    <w:p>
      <w:r>
        <w:drawing>
          <wp:inline xmlns:a="http://schemas.openxmlformats.org/drawingml/2006/main" xmlns:pic="http://schemas.openxmlformats.org/drawingml/2006/picture">
            <wp:extent cx="3048000" cy="15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524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