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0BD" w:rsidRDefault="00DE60BD" w:rsidP="00DE60BD">
      <w:pPr>
        <w:spacing w:line="360" w:lineRule="auto"/>
        <w:ind w:firstLine="567"/>
        <w:contextualSpacing/>
        <w:jc w:val="both"/>
        <w:rPr>
          <w:rFonts w:ascii="Arial" w:hAnsi="Arial" w:cs="Arial"/>
          <w:sz w:val="20"/>
          <w:szCs w:val="20"/>
        </w:rPr>
      </w:pPr>
      <w:r w:rsidRPr="007313F1">
        <w:rPr>
          <w:rFonts w:ascii="Arial" w:hAnsi="Arial" w:cs="Arial"/>
          <w:sz w:val="20"/>
          <w:szCs w:val="20"/>
        </w:rPr>
        <w:t xml:space="preserve">Psoriasis is a chronic inflammatory </w:t>
      </w:r>
      <w:r>
        <w:rPr>
          <w:rFonts w:ascii="Arial" w:hAnsi="Arial" w:cs="Arial"/>
          <w:sz w:val="20"/>
          <w:szCs w:val="20"/>
        </w:rPr>
        <w:t xml:space="preserve">skin </w:t>
      </w:r>
      <w:proofErr w:type="gramStart"/>
      <w:r w:rsidRPr="007313F1">
        <w:rPr>
          <w:rFonts w:ascii="Arial" w:hAnsi="Arial" w:cs="Arial"/>
          <w:sz w:val="20"/>
          <w:szCs w:val="20"/>
        </w:rPr>
        <w:t xml:space="preserve">disease </w:t>
      </w:r>
      <w:r>
        <w:rPr>
          <w:rFonts w:ascii="Arial" w:hAnsi="Arial" w:cs="Arial"/>
          <w:sz w:val="20"/>
          <w:szCs w:val="20"/>
        </w:rPr>
        <w:t>which</w:t>
      </w:r>
      <w:proofErr w:type="gramEnd"/>
      <w:r>
        <w:rPr>
          <w:rFonts w:ascii="Arial" w:hAnsi="Arial" w:cs="Arial"/>
          <w:sz w:val="20"/>
          <w:szCs w:val="20"/>
        </w:rPr>
        <w:t xml:space="preserve"> may be associated with chronic arthritis manifesting as psoriatic arthritis (</w:t>
      </w:r>
      <w:proofErr w:type="spellStart"/>
      <w:r>
        <w:rPr>
          <w:rFonts w:ascii="Arial" w:hAnsi="Arial" w:cs="Arial"/>
          <w:sz w:val="20"/>
          <w:szCs w:val="20"/>
        </w:rPr>
        <w:t>PsA</w:t>
      </w:r>
      <w:proofErr w:type="spellEnd"/>
      <w:r>
        <w:rPr>
          <w:rFonts w:ascii="Arial" w:hAnsi="Arial" w:cs="Arial"/>
          <w:sz w:val="20"/>
          <w:szCs w:val="20"/>
        </w:rPr>
        <w:t xml:space="preserve">). Both are complex diseases with strong heritability and genetic association, notably involving </w:t>
      </w:r>
      <w:r w:rsidRPr="006C5388">
        <w:rPr>
          <w:rFonts w:ascii="Arial" w:hAnsi="Arial" w:cs="Arial"/>
          <w:sz w:val="20"/>
          <w:szCs w:val="20"/>
        </w:rPr>
        <w:t>HLA-C*06:02</w:t>
      </w:r>
      <w:r>
        <w:rPr>
          <w:rFonts w:ascii="Arial" w:hAnsi="Arial" w:cs="Arial"/>
          <w:sz w:val="20"/>
          <w:szCs w:val="20"/>
        </w:rPr>
        <w:t xml:space="preserve">. Genome-wide association studies (GWAS) have also identified more than </w:t>
      </w:r>
      <w:r w:rsidRPr="00C1692E">
        <w:rPr>
          <w:rFonts w:ascii="Arial" w:hAnsi="Arial" w:cs="Arial"/>
          <w:color w:val="000000"/>
          <w:sz w:val="20"/>
          <w:szCs w:val="20"/>
          <w:shd w:val="clear" w:color="auto" w:fill="FFFFFF"/>
        </w:rPr>
        <w:t xml:space="preserve">40 </w:t>
      </w:r>
      <w:r>
        <w:rPr>
          <w:rFonts w:ascii="Arial" w:hAnsi="Arial" w:cs="Arial"/>
          <w:sz w:val="20"/>
          <w:szCs w:val="20"/>
        </w:rPr>
        <w:t xml:space="preserve">additional </w:t>
      </w:r>
      <w:r>
        <w:rPr>
          <w:rFonts w:ascii="Arial" w:hAnsi="Arial" w:cs="Arial"/>
          <w:color w:val="000000"/>
          <w:sz w:val="20"/>
          <w:szCs w:val="20"/>
          <w:shd w:val="clear" w:color="auto" w:fill="FFFFFF"/>
        </w:rPr>
        <w:t xml:space="preserve">loci, the </w:t>
      </w:r>
      <w:r>
        <w:rPr>
          <w:rFonts w:ascii="Arial" w:hAnsi="Arial" w:cs="Arial"/>
          <w:sz w:val="20"/>
          <w:szCs w:val="20"/>
        </w:rPr>
        <w:t>majority involving n</w:t>
      </w:r>
      <w:r w:rsidRPr="007313F1">
        <w:rPr>
          <w:rFonts w:ascii="Arial" w:hAnsi="Arial" w:cs="Arial"/>
          <w:sz w:val="20"/>
          <w:szCs w:val="20"/>
        </w:rPr>
        <w:t xml:space="preserve">on-coding </w:t>
      </w:r>
      <w:r>
        <w:rPr>
          <w:rFonts w:ascii="Arial" w:hAnsi="Arial" w:cs="Arial"/>
          <w:sz w:val="20"/>
          <w:szCs w:val="20"/>
        </w:rPr>
        <w:t xml:space="preserve">regulatory </w:t>
      </w:r>
      <w:r w:rsidRPr="007313F1">
        <w:rPr>
          <w:rFonts w:ascii="Arial" w:hAnsi="Arial" w:cs="Arial"/>
          <w:sz w:val="20"/>
          <w:szCs w:val="20"/>
        </w:rPr>
        <w:t>variants</w:t>
      </w:r>
      <w:r>
        <w:rPr>
          <w:rFonts w:ascii="Arial" w:hAnsi="Arial" w:cs="Arial"/>
          <w:sz w:val="20"/>
          <w:szCs w:val="20"/>
        </w:rPr>
        <w:t xml:space="preserve">. Understanding the functional role and impact of these variants in disease </w:t>
      </w:r>
      <w:proofErr w:type="gramStart"/>
      <w:r>
        <w:rPr>
          <w:rFonts w:ascii="Arial" w:hAnsi="Arial" w:cs="Arial"/>
          <w:sz w:val="20"/>
          <w:szCs w:val="20"/>
        </w:rPr>
        <w:t>aetiology still</w:t>
      </w:r>
      <w:proofErr w:type="gramEnd"/>
      <w:r>
        <w:rPr>
          <w:rFonts w:ascii="Arial" w:hAnsi="Arial" w:cs="Arial"/>
          <w:sz w:val="20"/>
          <w:szCs w:val="20"/>
        </w:rPr>
        <w:t xml:space="preserve"> remains challenging, requiring application of bioinformatics</w:t>
      </w:r>
      <w:r w:rsidRPr="007313F1">
        <w:rPr>
          <w:rFonts w:ascii="Arial" w:hAnsi="Arial" w:cs="Arial"/>
          <w:sz w:val="20"/>
          <w:szCs w:val="20"/>
        </w:rPr>
        <w:t xml:space="preserve"> and experimental </w:t>
      </w:r>
      <w:r>
        <w:rPr>
          <w:rFonts w:ascii="Arial" w:hAnsi="Arial" w:cs="Arial"/>
          <w:sz w:val="20"/>
          <w:szCs w:val="20"/>
        </w:rPr>
        <w:t>approaches in a disease setting and cell-specific relevant context to resolve functional causal variants.</w:t>
      </w:r>
    </w:p>
    <w:p w:rsidR="00DE60BD" w:rsidRDefault="00DE60BD" w:rsidP="00DE60BD">
      <w:pPr>
        <w:spacing w:line="360" w:lineRule="auto"/>
        <w:ind w:firstLine="567"/>
        <w:contextualSpacing/>
        <w:jc w:val="both"/>
        <w:rPr>
          <w:rFonts w:ascii="Arial" w:hAnsi="Arial" w:cs="Arial"/>
          <w:sz w:val="20"/>
          <w:szCs w:val="20"/>
        </w:rPr>
      </w:pPr>
      <w:r>
        <w:rPr>
          <w:rFonts w:ascii="Arial" w:hAnsi="Arial" w:cs="Arial"/>
          <w:sz w:val="20"/>
          <w:szCs w:val="20"/>
        </w:rPr>
        <w:t xml:space="preserve">We have applied </w:t>
      </w:r>
      <w:r w:rsidRPr="007313F1">
        <w:rPr>
          <w:rFonts w:ascii="Arial" w:hAnsi="Arial" w:cs="Arial"/>
          <w:sz w:val="20"/>
          <w:szCs w:val="20"/>
        </w:rPr>
        <w:t>transposase-acc</w:t>
      </w:r>
      <w:r>
        <w:rPr>
          <w:rFonts w:ascii="Arial" w:hAnsi="Arial" w:cs="Arial"/>
          <w:sz w:val="20"/>
          <w:szCs w:val="20"/>
        </w:rPr>
        <w:t>essible chromatin (ATAC-</w:t>
      </w:r>
      <w:proofErr w:type="spellStart"/>
      <w:r>
        <w:rPr>
          <w:rFonts w:ascii="Arial" w:hAnsi="Arial" w:cs="Arial"/>
          <w:sz w:val="20"/>
          <w:szCs w:val="20"/>
        </w:rPr>
        <w:t>seq</w:t>
      </w:r>
      <w:proofErr w:type="spellEnd"/>
      <w:r>
        <w:rPr>
          <w:rFonts w:ascii="Arial" w:hAnsi="Arial" w:cs="Arial"/>
          <w:sz w:val="20"/>
          <w:szCs w:val="20"/>
        </w:rPr>
        <w:t xml:space="preserve">) profiling to keratinocyte-enriched cell populations obtained from epidermal sheets of uninvolved and </w:t>
      </w:r>
      <w:proofErr w:type="spellStart"/>
      <w:r>
        <w:rPr>
          <w:rFonts w:ascii="Arial" w:hAnsi="Arial" w:cs="Arial"/>
          <w:sz w:val="20"/>
          <w:szCs w:val="20"/>
        </w:rPr>
        <w:t>lesional</w:t>
      </w:r>
      <w:proofErr w:type="spellEnd"/>
      <w:r>
        <w:rPr>
          <w:rFonts w:ascii="Arial" w:hAnsi="Arial" w:cs="Arial"/>
          <w:sz w:val="20"/>
          <w:szCs w:val="20"/>
        </w:rPr>
        <w:t xml:space="preserve"> psoriatic skin biopsies. ATAC-</w:t>
      </w:r>
      <w:proofErr w:type="spellStart"/>
      <w:r>
        <w:rPr>
          <w:rFonts w:ascii="Arial" w:hAnsi="Arial" w:cs="Arial"/>
          <w:sz w:val="20"/>
          <w:szCs w:val="20"/>
        </w:rPr>
        <w:t>seq</w:t>
      </w:r>
      <w:proofErr w:type="spellEnd"/>
      <w:r>
        <w:rPr>
          <w:rFonts w:ascii="Arial" w:hAnsi="Arial" w:cs="Arial"/>
          <w:sz w:val="20"/>
          <w:szCs w:val="20"/>
        </w:rPr>
        <w:t xml:space="preserve"> results show </w:t>
      </w:r>
      <w:proofErr w:type="spellStart"/>
      <w:r>
        <w:rPr>
          <w:rFonts w:ascii="Arial" w:hAnsi="Arial" w:cs="Arial"/>
          <w:sz w:val="20"/>
          <w:szCs w:val="20"/>
        </w:rPr>
        <w:t>nucleosomal</w:t>
      </w:r>
      <w:proofErr w:type="spellEnd"/>
      <w:r>
        <w:rPr>
          <w:rFonts w:ascii="Arial" w:hAnsi="Arial" w:cs="Arial"/>
          <w:sz w:val="20"/>
          <w:szCs w:val="20"/>
        </w:rPr>
        <w:t xml:space="preserve"> periodicity in fragment size distribution and enrichment in overlap with DNase-I hypersensitivity ENCODE data from primary cultured keratinocytes relative to other cell types. However, we find high background limiting further application of this approach in this setting despite optimisation. We are now extending the approach to generate complementary ATAC-</w:t>
      </w:r>
      <w:proofErr w:type="spellStart"/>
      <w:r>
        <w:rPr>
          <w:rFonts w:ascii="Arial" w:hAnsi="Arial" w:cs="Arial"/>
          <w:sz w:val="20"/>
          <w:szCs w:val="20"/>
        </w:rPr>
        <w:t>seq</w:t>
      </w:r>
      <w:proofErr w:type="spellEnd"/>
      <w:r>
        <w:rPr>
          <w:rFonts w:ascii="Arial" w:hAnsi="Arial" w:cs="Arial"/>
          <w:sz w:val="20"/>
          <w:szCs w:val="20"/>
        </w:rPr>
        <w:t xml:space="preserve"> data for different immune cell types (including CD14</w:t>
      </w:r>
      <w:r w:rsidRPr="00F24969">
        <w:rPr>
          <w:rFonts w:ascii="Arial" w:hAnsi="Arial" w:cs="Arial"/>
          <w:sz w:val="20"/>
          <w:szCs w:val="20"/>
          <w:vertAlign w:val="superscript"/>
        </w:rPr>
        <w:t>+</w:t>
      </w:r>
      <w:r>
        <w:rPr>
          <w:rFonts w:ascii="Arial" w:hAnsi="Arial" w:cs="Arial"/>
          <w:sz w:val="20"/>
          <w:szCs w:val="20"/>
        </w:rPr>
        <w:t xml:space="preserve"> monocytes, CD4</w:t>
      </w:r>
      <w:r w:rsidRPr="00F24969">
        <w:rPr>
          <w:rFonts w:ascii="Arial" w:hAnsi="Arial" w:cs="Arial"/>
          <w:sz w:val="20"/>
          <w:szCs w:val="20"/>
          <w:vertAlign w:val="superscript"/>
        </w:rPr>
        <w:t>+</w:t>
      </w:r>
      <w:r>
        <w:rPr>
          <w:rFonts w:ascii="Arial" w:hAnsi="Arial" w:cs="Arial"/>
          <w:sz w:val="20"/>
          <w:szCs w:val="20"/>
        </w:rPr>
        <w:t>, CD8</w:t>
      </w:r>
      <w:r w:rsidRPr="00F24969">
        <w:rPr>
          <w:rFonts w:ascii="Arial" w:hAnsi="Arial" w:cs="Arial"/>
          <w:sz w:val="20"/>
          <w:szCs w:val="20"/>
          <w:vertAlign w:val="superscript"/>
        </w:rPr>
        <w:t>+</w:t>
      </w:r>
      <w:r>
        <w:rPr>
          <w:rFonts w:ascii="Arial" w:hAnsi="Arial" w:cs="Arial"/>
          <w:sz w:val="20"/>
          <w:szCs w:val="20"/>
        </w:rPr>
        <w:t xml:space="preserve"> and CD19</w:t>
      </w:r>
      <w:r w:rsidRPr="00F24969">
        <w:rPr>
          <w:rFonts w:ascii="Arial" w:hAnsi="Arial" w:cs="Arial"/>
          <w:sz w:val="20"/>
          <w:szCs w:val="20"/>
          <w:vertAlign w:val="superscript"/>
        </w:rPr>
        <w:t>+</w:t>
      </w:r>
      <w:r>
        <w:rPr>
          <w:rFonts w:ascii="Arial" w:hAnsi="Arial" w:cs="Arial"/>
          <w:sz w:val="20"/>
          <w:szCs w:val="20"/>
        </w:rPr>
        <w:t xml:space="preserve">) derived from synovial fluid and/or peripheral blood of psoriasis vulgaris and </w:t>
      </w:r>
      <w:proofErr w:type="spellStart"/>
      <w:r>
        <w:rPr>
          <w:rFonts w:ascii="Arial" w:hAnsi="Arial" w:cs="Arial"/>
          <w:sz w:val="20"/>
          <w:szCs w:val="20"/>
        </w:rPr>
        <w:t>PsA</w:t>
      </w:r>
      <w:proofErr w:type="spellEnd"/>
      <w:r>
        <w:rPr>
          <w:rFonts w:ascii="Arial" w:hAnsi="Arial" w:cs="Arial"/>
          <w:sz w:val="20"/>
          <w:szCs w:val="20"/>
        </w:rPr>
        <w:t xml:space="preserve"> patients.</w:t>
      </w:r>
    </w:p>
    <w:p w:rsidR="00DE60BD" w:rsidRDefault="00DE60BD" w:rsidP="00DE60BD">
      <w:pPr>
        <w:spacing w:line="360" w:lineRule="auto"/>
        <w:ind w:firstLine="567"/>
        <w:contextualSpacing/>
        <w:jc w:val="both"/>
        <w:rPr>
          <w:rFonts w:ascii="Arial" w:hAnsi="Arial" w:cs="Arial"/>
          <w:sz w:val="20"/>
          <w:szCs w:val="20"/>
        </w:rPr>
      </w:pPr>
      <w:r>
        <w:rPr>
          <w:rFonts w:ascii="Arial" w:hAnsi="Arial" w:cs="Arial"/>
          <w:sz w:val="20"/>
          <w:szCs w:val="20"/>
        </w:rPr>
        <w:t>We conclude that the low sensitivity of ATAC-</w:t>
      </w:r>
      <w:proofErr w:type="spellStart"/>
      <w:r>
        <w:rPr>
          <w:rFonts w:ascii="Arial" w:hAnsi="Arial" w:cs="Arial"/>
          <w:sz w:val="20"/>
          <w:szCs w:val="20"/>
        </w:rPr>
        <w:t>seq</w:t>
      </w:r>
      <w:proofErr w:type="spellEnd"/>
      <w:r>
        <w:rPr>
          <w:rFonts w:ascii="Arial" w:hAnsi="Arial" w:cs="Arial"/>
          <w:sz w:val="20"/>
          <w:szCs w:val="20"/>
        </w:rPr>
        <w:t xml:space="preserve"> in skin currently impairs the use of the data for comparison of regulatory landscapes across </w:t>
      </w:r>
      <w:proofErr w:type="spellStart"/>
      <w:r>
        <w:rPr>
          <w:rFonts w:ascii="Arial" w:hAnsi="Arial" w:cs="Arial"/>
          <w:sz w:val="20"/>
          <w:szCs w:val="20"/>
        </w:rPr>
        <w:t>lesional</w:t>
      </w:r>
      <w:proofErr w:type="spellEnd"/>
      <w:r>
        <w:rPr>
          <w:rFonts w:ascii="Arial" w:hAnsi="Arial" w:cs="Arial"/>
          <w:sz w:val="20"/>
          <w:szCs w:val="20"/>
        </w:rPr>
        <w:t xml:space="preserve"> skin and different immune cell types. Integration of chromatin and transcriptional profiles generated in primary immune cells will be potentially informative in revealing cell and context specific differences in the regulatory landscape and it may help to prioritise GWAS variants associated with disease. Overall, this novel approach could contribute </w:t>
      </w:r>
      <w:proofErr w:type="gramStart"/>
      <w:r>
        <w:rPr>
          <w:rFonts w:ascii="Arial" w:hAnsi="Arial" w:cs="Arial"/>
          <w:sz w:val="20"/>
          <w:szCs w:val="20"/>
        </w:rPr>
        <w:t>to better understand</w:t>
      </w:r>
      <w:proofErr w:type="gramEnd"/>
      <w:r>
        <w:rPr>
          <w:rFonts w:ascii="Arial" w:hAnsi="Arial" w:cs="Arial"/>
          <w:sz w:val="20"/>
          <w:szCs w:val="20"/>
        </w:rPr>
        <w:t xml:space="preserve"> the mechanisms of action of non-coding variants in a disease and cell specific manner.</w:t>
      </w:r>
    </w:p>
    <w:p w:rsidR="00481960" w:rsidRDefault="00CE1E35"/>
    <w:p w:rsidR="00DD0201" w:rsidRDefault="00DD0201"/>
    <w:p w:rsidR="00DD0201" w:rsidRDefault="00DD0201" w:rsidP="00DD0201">
      <w:pPr>
        <w:pStyle w:val="ListParagraph"/>
        <w:numPr>
          <w:ilvl w:val="0"/>
          <w:numId w:val="1"/>
        </w:numPr>
      </w:pPr>
      <w:r>
        <w:t xml:space="preserve">Psoriasis is a complex </w:t>
      </w:r>
      <w:r w:rsidR="009B5D89">
        <w:t xml:space="preserve">chronic inflammatory </w:t>
      </w:r>
      <w:r>
        <w:t>disease characterised by skin les</w:t>
      </w:r>
      <w:r w:rsidR="0003006E">
        <w:t xml:space="preserve">ions </w:t>
      </w:r>
      <w:r w:rsidR="00C452ED">
        <w:t>manifesting in 90% of the cases with plaques</w:t>
      </w:r>
      <w:r w:rsidR="0003006E">
        <w:t xml:space="preserve"> </w:t>
      </w:r>
      <w:r w:rsidR="00C452ED">
        <w:t>in x (psoriasis vulgaris)</w:t>
      </w:r>
    </w:p>
    <w:p w:rsidR="00DD0201" w:rsidRDefault="00DD0201" w:rsidP="00DD0201">
      <w:pPr>
        <w:pStyle w:val="ListParagraph"/>
        <w:numPr>
          <w:ilvl w:val="0"/>
          <w:numId w:val="1"/>
        </w:numPr>
      </w:pPr>
      <w:r>
        <w:t>About x% of the psoriasis patients also develop</w:t>
      </w:r>
      <w:r w:rsidR="008B080E">
        <w:t xml:space="preserve"> joint affection </w:t>
      </w:r>
      <w:r w:rsidR="00AA78D0">
        <w:t xml:space="preserve">in the form of </w:t>
      </w:r>
      <w:proofErr w:type="spellStart"/>
      <w:r w:rsidR="00AA78D0">
        <w:t>PsA</w:t>
      </w:r>
      <w:proofErr w:type="spellEnd"/>
      <w:r w:rsidR="00AA78D0">
        <w:t xml:space="preserve"> </w:t>
      </w:r>
      <w:r w:rsidR="008B080E">
        <w:t xml:space="preserve">which manifest in inflammation of </w:t>
      </w:r>
      <w:r w:rsidR="00453733">
        <w:t>one or many joints</w:t>
      </w:r>
    </w:p>
    <w:p w:rsidR="001141BF" w:rsidRDefault="008B080E" w:rsidP="00DD0201">
      <w:pPr>
        <w:pStyle w:val="ListParagraph"/>
        <w:numPr>
          <w:ilvl w:val="0"/>
          <w:numId w:val="1"/>
        </w:numPr>
      </w:pPr>
      <w:r>
        <w:t>B</w:t>
      </w:r>
      <w:r w:rsidR="00AA78D0">
        <w:t xml:space="preserve">oth are complex diseases </w:t>
      </w:r>
      <w:r w:rsidR="00F9588B">
        <w:t xml:space="preserve">resulting from the interaction of environmental factors and </w:t>
      </w:r>
      <w:r w:rsidR="00BC784F">
        <w:t>genetic associations</w:t>
      </w:r>
      <w:r w:rsidR="00F9588B">
        <w:t xml:space="preserve"> identified</w:t>
      </w:r>
      <w:r w:rsidR="00BC784F">
        <w:t xml:space="preserve"> through GWAS studies, </w:t>
      </w:r>
      <w:r w:rsidR="00337E11">
        <w:t>with many commonalities and some phenotype-specific associations</w:t>
      </w:r>
      <w:r w:rsidR="001141BF">
        <w:t>.</w:t>
      </w:r>
    </w:p>
    <w:p w:rsidR="008033C1" w:rsidRDefault="00CB74BB" w:rsidP="00DD0201">
      <w:pPr>
        <w:pStyle w:val="ListParagraph"/>
        <w:numPr>
          <w:ilvl w:val="0"/>
          <w:numId w:val="1"/>
        </w:numPr>
      </w:pPr>
      <w:r>
        <w:t>Latest technical advances in f</w:t>
      </w:r>
      <w:r w:rsidR="009A28FA">
        <w:t xml:space="preserve">unctional </w:t>
      </w:r>
      <w:r w:rsidR="008918CA">
        <w:t xml:space="preserve">genomic </w:t>
      </w:r>
      <w:r>
        <w:t xml:space="preserve">allow </w:t>
      </w:r>
      <w:r w:rsidR="00F105CD">
        <w:t>to study the</w:t>
      </w:r>
      <w:r w:rsidR="008918CA">
        <w:t xml:space="preserve"> epigenetic landscape and gene expression </w:t>
      </w:r>
      <w:r w:rsidR="00F105CD">
        <w:t xml:space="preserve">profiles </w:t>
      </w:r>
      <w:r w:rsidR="008033C1">
        <w:t>even at the single-cell resolution</w:t>
      </w:r>
      <w:r w:rsidR="00F105CD">
        <w:t xml:space="preserve"> </w:t>
      </w:r>
      <w:r w:rsidR="00F430ED">
        <w:t>in clinical samples</w:t>
      </w:r>
    </w:p>
    <w:p w:rsidR="008B080E" w:rsidRDefault="008033C1" w:rsidP="00DD0201">
      <w:pPr>
        <w:pStyle w:val="ListParagraph"/>
        <w:numPr>
          <w:ilvl w:val="0"/>
          <w:numId w:val="1"/>
        </w:numPr>
      </w:pPr>
      <w:r>
        <w:t>This</w:t>
      </w:r>
      <w:r w:rsidR="00AB4175">
        <w:t xml:space="preserve"> is opening the door to </w:t>
      </w:r>
      <w:r w:rsidR="00CB74BB">
        <w:t>characterise</w:t>
      </w:r>
      <w:r w:rsidR="00C54DFE">
        <w:t xml:space="preserve"> </w:t>
      </w:r>
      <w:r w:rsidR="0009436E">
        <w:t>changes in the</w:t>
      </w:r>
      <w:r>
        <w:t xml:space="preserve"> functional landscape</w:t>
      </w:r>
      <w:r w:rsidR="0083756D">
        <w:t xml:space="preserve"> </w:t>
      </w:r>
      <w:r w:rsidR="0009436E">
        <w:t>driven by</w:t>
      </w:r>
      <w:r w:rsidR="0083756D">
        <w:t xml:space="preserve"> disease and to further dissect</w:t>
      </w:r>
      <w:r w:rsidR="00C145D0">
        <w:t>ing the context specific</w:t>
      </w:r>
      <w:r w:rsidR="003D1A63">
        <w:t xml:space="preserve"> functional impact of genetic variability </w:t>
      </w:r>
      <w:r w:rsidR="00C145D0">
        <w:t>by stu</w:t>
      </w:r>
      <w:r w:rsidR="00567EE7">
        <w:t>d</w:t>
      </w:r>
      <w:r w:rsidR="00C145D0">
        <w:t xml:space="preserve">ying </w:t>
      </w:r>
      <w:r w:rsidR="00783A2B">
        <w:t xml:space="preserve">affected tissues and </w:t>
      </w:r>
      <w:r w:rsidR="00C145D0">
        <w:t>relevant cell types</w:t>
      </w:r>
      <w:bookmarkStart w:id="0" w:name="_GoBack"/>
      <w:bookmarkEnd w:id="0"/>
      <w:r>
        <w:t xml:space="preserve"> </w:t>
      </w:r>
      <w:r w:rsidR="00F105CD">
        <w:t xml:space="preserve"> </w:t>
      </w:r>
      <w:r w:rsidR="00BC42A8">
        <w:t xml:space="preserve"> </w:t>
      </w:r>
    </w:p>
    <w:sectPr w:rsidR="008B0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A2C93"/>
    <w:multiLevelType w:val="hybridMultilevel"/>
    <w:tmpl w:val="63B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0BD"/>
    <w:rsid w:val="0003006E"/>
    <w:rsid w:val="0009436E"/>
    <w:rsid w:val="001141BF"/>
    <w:rsid w:val="00337E11"/>
    <w:rsid w:val="00364719"/>
    <w:rsid w:val="003D1A63"/>
    <w:rsid w:val="0041335A"/>
    <w:rsid w:val="00453733"/>
    <w:rsid w:val="00567EE7"/>
    <w:rsid w:val="00783A2B"/>
    <w:rsid w:val="008033C1"/>
    <w:rsid w:val="0083756D"/>
    <w:rsid w:val="008918CA"/>
    <w:rsid w:val="008B080E"/>
    <w:rsid w:val="009A28FA"/>
    <w:rsid w:val="009B5D89"/>
    <w:rsid w:val="009F3EA2"/>
    <w:rsid w:val="00AA78D0"/>
    <w:rsid w:val="00AB4175"/>
    <w:rsid w:val="00BC42A8"/>
    <w:rsid w:val="00BC784F"/>
    <w:rsid w:val="00C04802"/>
    <w:rsid w:val="00C145D0"/>
    <w:rsid w:val="00C452ED"/>
    <w:rsid w:val="00C54DFE"/>
    <w:rsid w:val="00CB74BB"/>
    <w:rsid w:val="00DD0201"/>
    <w:rsid w:val="00DE60BD"/>
    <w:rsid w:val="00F105CD"/>
    <w:rsid w:val="00F430ED"/>
    <w:rsid w:val="00F95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B083"/>
  <w15:chartTrackingRefBased/>
  <w15:docId w15:val="{303EC517-C34E-48A8-B7F8-100DB29E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0BD"/>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Lledolara</dc:creator>
  <cp:keywords/>
  <dc:description/>
  <cp:lastModifiedBy>Alicia Lledolara</cp:lastModifiedBy>
  <cp:revision>3</cp:revision>
  <dcterms:created xsi:type="dcterms:W3CDTF">2018-12-18T20:34:00Z</dcterms:created>
  <dcterms:modified xsi:type="dcterms:W3CDTF">2018-12-18T21:30:00Z</dcterms:modified>
</cp:coreProperties>
</file>