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66C35" w14:textId="77777777" w:rsidR="00D709D1" w:rsidRDefault="00D709D1" w:rsidP="00D709D1">
      <w:pPr>
        <w:jc w:val="center"/>
        <w:rPr>
          <w:b/>
          <w:sz w:val="36"/>
          <w:szCs w:val="36"/>
          <w:u w:val="single"/>
        </w:rPr>
      </w:pPr>
      <w:r>
        <w:rPr>
          <w:b/>
          <w:sz w:val="36"/>
          <w:szCs w:val="36"/>
          <w:u w:val="single"/>
        </w:rPr>
        <w:t>VIVA SUGGESTED CORRECTIONS CHECKLIST</w:t>
      </w:r>
    </w:p>
    <w:p w14:paraId="13421123" w14:textId="77777777" w:rsidR="00D709D1" w:rsidRDefault="00D709D1" w:rsidP="00D709D1">
      <w:pPr>
        <w:jc w:val="center"/>
        <w:rPr>
          <w:b/>
          <w:sz w:val="36"/>
          <w:szCs w:val="36"/>
          <w:u w:val="single"/>
        </w:rPr>
      </w:pPr>
    </w:p>
    <w:p w14:paraId="6898240F" w14:textId="77777777" w:rsidR="00D709D1" w:rsidRDefault="00D709D1" w:rsidP="006E2C58">
      <w:pPr>
        <w:pStyle w:val="ListParagraph"/>
        <w:numPr>
          <w:ilvl w:val="0"/>
          <w:numId w:val="1"/>
        </w:numPr>
        <w:tabs>
          <w:tab w:val="left" w:pos="284"/>
        </w:tabs>
        <w:ind w:left="0" w:firstLine="0"/>
        <w:jc w:val="both"/>
        <w:rPr>
          <w:b/>
          <w:sz w:val="28"/>
          <w:szCs w:val="28"/>
        </w:rPr>
      </w:pPr>
      <w:r w:rsidRPr="00D709D1">
        <w:rPr>
          <w:b/>
          <w:sz w:val="28"/>
          <w:szCs w:val="28"/>
        </w:rPr>
        <w:t>The candidate was provided with a copy of the thesis from the internal examiner where minor typographical errors were noted, for correction.</w:t>
      </w:r>
    </w:p>
    <w:p w14:paraId="0E9690F1" w14:textId="77777777" w:rsidR="00FB0B70" w:rsidRDefault="00FB0B70" w:rsidP="006E2C58">
      <w:pPr>
        <w:pStyle w:val="ListParagraph"/>
        <w:tabs>
          <w:tab w:val="left" w:pos="284"/>
        </w:tabs>
        <w:ind w:left="0"/>
        <w:jc w:val="both"/>
        <w:rPr>
          <w:color w:val="000000" w:themeColor="text1"/>
        </w:rPr>
      </w:pPr>
    </w:p>
    <w:p w14:paraId="2FAC4411" w14:textId="2E60944F" w:rsidR="006E2C58" w:rsidRDefault="00FB0B70" w:rsidP="006E2C58">
      <w:pPr>
        <w:pStyle w:val="ListParagraph"/>
        <w:tabs>
          <w:tab w:val="left" w:pos="284"/>
        </w:tabs>
        <w:ind w:left="0"/>
        <w:jc w:val="both"/>
        <w:rPr>
          <w:color w:val="000000" w:themeColor="text1"/>
        </w:rPr>
      </w:pPr>
      <w:r>
        <w:rPr>
          <w:color w:val="000000" w:themeColor="text1"/>
        </w:rPr>
        <w:t xml:space="preserve">I have </w:t>
      </w:r>
      <w:r w:rsidR="00963E91">
        <w:rPr>
          <w:color w:val="000000" w:themeColor="text1"/>
        </w:rPr>
        <w:t>amended all the</w:t>
      </w:r>
      <w:r>
        <w:rPr>
          <w:color w:val="000000" w:themeColor="text1"/>
        </w:rPr>
        <w:t xml:space="preserve"> typographic and grammatical mistake</w:t>
      </w:r>
      <w:r w:rsidR="00963E91">
        <w:rPr>
          <w:color w:val="000000" w:themeColor="text1"/>
        </w:rPr>
        <w:t>s</w:t>
      </w:r>
      <w:r>
        <w:rPr>
          <w:color w:val="000000" w:themeColor="text1"/>
        </w:rPr>
        <w:t xml:space="preserve"> that were marked in the hard copy of the thesis.</w:t>
      </w:r>
    </w:p>
    <w:p w14:paraId="46BE8212" w14:textId="1590BA2B" w:rsidR="00FB0B70" w:rsidRDefault="00FB0B70" w:rsidP="006E2C58">
      <w:pPr>
        <w:pStyle w:val="ListParagraph"/>
        <w:tabs>
          <w:tab w:val="left" w:pos="284"/>
        </w:tabs>
        <w:ind w:left="0"/>
        <w:jc w:val="both"/>
        <w:rPr>
          <w:b/>
          <w:sz w:val="28"/>
          <w:szCs w:val="28"/>
        </w:rPr>
      </w:pPr>
    </w:p>
    <w:p w14:paraId="6C42BDFD" w14:textId="77777777" w:rsidR="00FB0B70" w:rsidRDefault="00FB0B70" w:rsidP="006E2C58">
      <w:pPr>
        <w:pStyle w:val="ListParagraph"/>
        <w:tabs>
          <w:tab w:val="left" w:pos="284"/>
        </w:tabs>
        <w:ind w:left="0"/>
        <w:jc w:val="both"/>
        <w:rPr>
          <w:b/>
          <w:sz w:val="28"/>
          <w:szCs w:val="28"/>
        </w:rPr>
      </w:pPr>
    </w:p>
    <w:p w14:paraId="7EBC1A3C" w14:textId="7A464463" w:rsidR="006E2C58" w:rsidRDefault="006E2C58" w:rsidP="006E2C58">
      <w:pPr>
        <w:pStyle w:val="ListParagraph"/>
        <w:numPr>
          <w:ilvl w:val="0"/>
          <w:numId w:val="1"/>
        </w:numPr>
        <w:tabs>
          <w:tab w:val="left" w:pos="284"/>
        </w:tabs>
        <w:ind w:left="0" w:firstLine="0"/>
        <w:jc w:val="both"/>
        <w:rPr>
          <w:b/>
          <w:sz w:val="28"/>
          <w:szCs w:val="28"/>
        </w:rPr>
      </w:pPr>
      <w:r>
        <w:rPr>
          <w:b/>
          <w:sz w:val="28"/>
          <w:szCs w:val="28"/>
        </w:rPr>
        <w:t>Redefining dactylitis pathological process</w:t>
      </w:r>
      <w:r w:rsidR="007E06A7">
        <w:rPr>
          <w:b/>
          <w:sz w:val="28"/>
          <w:szCs w:val="28"/>
        </w:rPr>
        <w:t>.</w:t>
      </w:r>
    </w:p>
    <w:p w14:paraId="3B1020CE" w14:textId="77777777" w:rsidR="005D2D1C" w:rsidRDefault="005D2D1C" w:rsidP="007E06A7">
      <w:pPr>
        <w:pStyle w:val="ListParagraph"/>
        <w:tabs>
          <w:tab w:val="left" w:pos="284"/>
        </w:tabs>
        <w:ind w:left="0"/>
        <w:jc w:val="both"/>
        <w:rPr>
          <w:color w:val="000000" w:themeColor="text1"/>
        </w:rPr>
      </w:pPr>
    </w:p>
    <w:p w14:paraId="65328EBB" w14:textId="035A5233" w:rsidR="00067AF7" w:rsidRPr="005D2D1C" w:rsidRDefault="007E06A7" w:rsidP="007E06A7">
      <w:pPr>
        <w:pStyle w:val="ListParagraph"/>
        <w:tabs>
          <w:tab w:val="left" w:pos="284"/>
        </w:tabs>
        <w:ind w:left="0"/>
        <w:jc w:val="both"/>
        <w:rPr>
          <w:color w:val="000000" w:themeColor="text1"/>
        </w:rPr>
      </w:pPr>
      <w:r w:rsidRPr="005D2D1C">
        <w:rPr>
          <w:color w:val="000000" w:themeColor="text1"/>
        </w:rPr>
        <w:t>I have re-written the paragraph</w:t>
      </w:r>
      <w:r w:rsidR="00BF2D66" w:rsidRPr="005D2D1C">
        <w:rPr>
          <w:color w:val="000000" w:themeColor="text1"/>
        </w:rPr>
        <w:t xml:space="preserve"> under the sub-section “Histopathological alterations of skin and joints”</w:t>
      </w:r>
      <w:r w:rsidRPr="005D2D1C">
        <w:rPr>
          <w:color w:val="000000" w:themeColor="text1"/>
        </w:rPr>
        <w:t xml:space="preserve"> and also included </w:t>
      </w:r>
      <w:r w:rsidR="00BF2D66" w:rsidRPr="005D2D1C">
        <w:rPr>
          <w:color w:val="000000" w:themeColor="text1"/>
        </w:rPr>
        <w:t xml:space="preserve">the reference of </w:t>
      </w:r>
      <w:r w:rsidR="00582CE4" w:rsidRPr="005D2D1C">
        <w:rPr>
          <w:color w:val="000000" w:themeColor="text1"/>
        </w:rPr>
        <w:t>an</w:t>
      </w:r>
      <w:r w:rsidRPr="005D2D1C">
        <w:rPr>
          <w:color w:val="000000" w:themeColor="text1"/>
        </w:rPr>
        <w:t xml:space="preserve"> updated dactylitis review</w:t>
      </w:r>
      <w:r w:rsidR="00067AF7" w:rsidRPr="005D2D1C">
        <w:rPr>
          <w:color w:val="000000" w:themeColor="text1"/>
        </w:rPr>
        <w:t>.</w:t>
      </w:r>
    </w:p>
    <w:p w14:paraId="460EC202" w14:textId="77777777" w:rsidR="005D2D1C" w:rsidRPr="005D2D1C" w:rsidRDefault="005D2D1C" w:rsidP="00067AF7">
      <w:pPr>
        <w:pStyle w:val="ListParagraph"/>
        <w:tabs>
          <w:tab w:val="left" w:pos="284"/>
        </w:tabs>
        <w:ind w:left="0"/>
        <w:jc w:val="both"/>
        <w:rPr>
          <w:color w:val="000000" w:themeColor="text1"/>
        </w:rPr>
      </w:pPr>
    </w:p>
    <w:p w14:paraId="12BA3BC7" w14:textId="48CB9B39" w:rsidR="008572FA" w:rsidRPr="008572FA" w:rsidRDefault="00067AF7" w:rsidP="00067AF7">
      <w:pPr>
        <w:pStyle w:val="ListParagraph"/>
        <w:tabs>
          <w:tab w:val="left" w:pos="284"/>
        </w:tabs>
        <w:ind w:left="0"/>
        <w:jc w:val="both"/>
        <w:rPr>
          <w:color w:val="0070C0"/>
          <w:lang w:val="en-US"/>
        </w:rPr>
      </w:pPr>
      <w:r w:rsidRPr="008572FA">
        <w:rPr>
          <w:color w:val="0070C0"/>
        </w:rPr>
        <w:t xml:space="preserve">Old: </w:t>
      </w:r>
      <w:r w:rsidR="008572FA">
        <w:rPr>
          <w:color w:val="0070C0"/>
          <w:lang w:val="en-US"/>
        </w:rPr>
        <w:t>“</w:t>
      </w:r>
      <w:r w:rsidRPr="008572FA">
        <w:rPr>
          <w:rFonts w:asciiTheme="minorHAnsi" w:eastAsiaTheme="minorHAnsi" w:hAnsiTheme="minorHAnsi" w:cstheme="minorBidi"/>
          <w:color w:val="0070C0"/>
          <w:lang w:val="en-US"/>
        </w:rPr>
        <w:t>As a result, alterations in</w:t>
      </w:r>
      <w:r w:rsidRPr="008572FA">
        <w:rPr>
          <w:color w:val="0070C0"/>
          <w:lang w:val="en-US"/>
        </w:rPr>
        <w:t xml:space="preserve"> </w:t>
      </w:r>
      <w:r w:rsidRPr="008572FA">
        <w:rPr>
          <w:rFonts w:asciiTheme="minorHAnsi" w:eastAsiaTheme="minorHAnsi" w:hAnsiTheme="minorHAnsi" w:cstheme="minorBidi"/>
          <w:color w:val="0070C0"/>
          <w:lang w:val="en-US"/>
        </w:rPr>
        <w:t>bone remodeling lead to osteolysis, bone resorption and erosion at the affected</w:t>
      </w:r>
      <w:r w:rsidRPr="008572FA">
        <w:rPr>
          <w:color w:val="0070C0"/>
          <w:lang w:val="en-US"/>
        </w:rPr>
        <w:t xml:space="preserve"> </w:t>
      </w:r>
      <w:r w:rsidRPr="008572FA">
        <w:rPr>
          <w:rFonts w:asciiTheme="minorHAnsi" w:eastAsiaTheme="minorHAnsi" w:hAnsiTheme="minorHAnsi" w:cstheme="minorBidi"/>
          <w:color w:val="0070C0"/>
          <w:lang w:val="en-US"/>
        </w:rPr>
        <w:t>joints (Mensah et al. 2008). Bone erosion is also the main histopathological</w:t>
      </w:r>
      <w:r w:rsidRPr="008572FA">
        <w:rPr>
          <w:color w:val="0070C0"/>
          <w:lang w:val="en-US"/>
        </w:rPr>
        <w:t xml:space="preserve"> </w:t>
      </w:r>
      <w:r w:rsidRPr="008572FA">
        <w:rPr>
          <w:rFonts w:asciiTheme="minorHAnsi" w:eastAsiaTheme="minorHAnsi" w:hAnsiTheme="minorHAnsi" w:cstheme="minorBidi"/>
          <w:color w:val="0070C0"/>
          <w:lang w:val="en-US"/>
        </w:rPr>
        <w:t xml:space="preserve">process driving </w:t>
      </w:r>
      <w:proofErr w:type="spellStart"/>
      <w:r w:rsidRPr="008572FA">
        <w:rPr>
          <w:rFonts w:asciiTheme="minorHAnsi" w:eastAsiaTheme="minorHAnsi" w:hAnsiTheme="minorHAnsi" w:cstheme="minorBidi"/>
          <w:color w:val="0070C0"/>
          <w:lang w:val="en-US"/>
        </w:rPr>
        <w:t>dactylatis</w:t>
      </w:r>
      <w:proofErr w:type="spellEnd"/>
      <w:r w:rsidRPr="008572FA">
        <w:rPr>
          <w:rFonts w:asciiTheme="minorHAnsi" w:eastAsiaTheme="minorHAnsi" w:hAnsiTheme="minorHAnsi" w:cstheme="minorBidi"/>
          <w:color w:val="0070C0"/>
          <w:lang w:val="en-US"/>
        </w:rPr>
        <w:t>, where bone lysis resolves in shortening of the digits</w:t>
      </w:r>
      <w:r w:rsidRPr="008572FA">
        <w:rPr>
          <w:color w:val="0070C0"/>
          <w:lang w:val="en-US"/>
        </w:rPr>
        <w:t xml:space="preserve"> </w:t>
      </w:r>
      <w:r w:rsidRPr="008572FA">
        <w:rPr>
          <w:rFonts w:asciiTheme="minorHAnsi" w:eastAsiaTheme="minorHAnsi" w:hAnsiTheme="minorHAnsi" w:cstheme="minorBidi"/>
          <w:color w:val="0070C0"/>
          <w:lang w:val="en-US"/>
        </w:rPr>
        <w:t>(</w:t>
      </w:r>
      <w:proofErr w:type="spellStart"/>
      <w:r w:rsidRPr="008572FA">
        <w:rPr>
          <w:rFonts w:asciiTheme="minorHAnsi" w:eastAsiaTheme="minorHAnsi" w:hAnsiTheme="minorHAnsi" w:cstheme="minorBidi"/>
          <w:color w:val="0070C0"/>
          <w:lang w:val="en-US"/>
        </w:rPr>
        <w:t>Gladman</w:t>
      </w:r>
      <w:proofErr w:type="spellEnd"/>
      <w:r w:rsidRPr="008572FA">
        <w:rPr>
          <w:rFonts w:asciiTheme="minorHAnsi" w:eastAsiaTheme="minorHAnsi" w:hAnsiTheme="minorHAnsi" w:cstheme="minorBidi"/>
          <w:color w:val="0070C0"/>
          <w:lang w:val="en-US"/>
        </w:rPr>
        <w:t xml:space="preserve"> et al. 2005). Moreover, 35% of </w:t>
      </w:r>
      <w:proofErr w:type="spellStart"/>
      <w:r w:rsidRPr="008572FA">
        <w:rPr>
          <w:rFonts w:asciiTheme="minorHAnsi" w:eastAsiaTheme="minorHAnsi" w:hAnsiTheme="minorHAnsi" w:cstheme="minorBidi"/>
          <w:color w:val="0070C0"/>
          <w:lang w:val="en-US"/>
        </w:rPr>
        <w:t>PsA</w:t>
      </w:r>
      <w:proofErr w:type="spellEnd"/>
      <w:r w:rsidRPr="008572FA">
        <w:rPr>
          <w:rFonts w:asciiTheme="minorHAnsi" w:eastAsiaTheme="minorHAnsi" w:hAnsiTheme="minorHAnsi" w:cstheme="minorBidi"/>
          <w:color w:val="0070C0"/>
          <w:lang w:val="en-US"/>
        </w:rPr>
        <w:t xml:space="preserve"> patients also undergo inflammation</w:t>
      </w:r>
      <w:r w:rsidRPr="008572FA">
        <w:rPr>
          <w:color w:val="0070C0"/>
          <w:lang w:val="en-US"/>
        </w:rPr>
        <w:t xml:space="preserve"> </w:t>
      </w:r>
      <w:r w:rsidRPr="008572FA">
        <w:rPr>
          <w:rFonts w:asciiTheme="minorHAnsi" w:eastAsiaTheme="minorHAnsi" w:hAnsiTheme="minorHAnsi" w:cstheme="minorBidi"/>
          <w:color w:val="0070C0"/>
          <w:lang w:val="en-US"/>
        </w:rPr>
        <w:t>of the connective tissue at the insertion of tendons or ligaments, a phenomenon</w:t>
      </w:r>
      <w:r w:rsidRPr="008572FA">
        <w:rPr>
          <w:color w:val="0070C0"/>
          <w:lang w:val="en-US"/>
        </w:rPr>
        <w:t xml:space="preserve"> </w:t>
      </w:r>
      <w:r w:rsidRPr="008572FA">
        <w:rPr>
          <w:rFonts w:asciiTheme="minorHAnsi" w:eastAsiaTheme="minorHAnsi" w:hAnsiTheme="minorHAnsi" w:cstheme="minorBidi"/>
          <w:color w:val="0070C0"/>
          <w:lang w:val="en-US"/>
        </w:rPr>
        <w:t xml:space="preserve">known as </w:t>
      </w:r>
      <w:proofErr w:type="spellStart"/>
      <w:r w:rsidRPr="008572FA">
        <w:rPr>
          <w:rFonts w:asciiTheme="minorHAnsi" w:eastAsiaTheme="minorHAnsi" w:hAnsiTheme="minorHAnsi" w:cstheme="minorBidi"/>
          <w:color w:val="0070C0"/>
          <w:lang w:val="en-US"/>
        </w:rPr>
        <w:t>enthesitis</w:t>
      </w:r>
      <w:proofErr w:type="spellEnd"/>
      <w:r w:rsidRPr="008572FA">
        <w:rPr>
          <w:rFonts w:asciiTheme="minorHAnsi" w:eastAsiaTheme="minorHAnsi" w:hAnsiTheme="minorHAnsi" w:cstheme="minorBidi"/>
          <w:color w:val="0070C0"/>
          <w:lang w:val="en-US"/>
        </w:rPr>
        <w:t xml:space="preserve"> (</w:t>
      </w:r>
      <w:proofErr w:type="spellStart"/>
      <w:r w:rsidRPr="008572FA">
        <w:rPr>
          <w:rFonts w:asciiTheme="minorHAnsi" w:eastAsiaTheme="minorHAnsi" w:hAnsiTheme="minorHAnsi" w:cstheme="minorBidi"/>
          <w:color w:val="0070C0"/>
          <w:lang w:val="en-US"/>
        </w:rPr>
        <w:t>McGonagle</w:t>
      </w:r>
      <w:proofErr w:type="spellEnd"/>
      <w:r w:rsidRPr="008572FA">
        <w:rPr>
          <w:rFonts w:asciiTheme="minorHAnsi" w:eastAsiaTheme="minorHAnsi" w:hAnsiTheme="minorHAnsi" w:cstheme="minorBidi"/>
          <w:color w:val="0070C0"/>
          <w:lang w:val="en-US"/>
        </w:rPr>
        <w:t xml:space="preserve"> et al. 2011; </w:t>
      </w:r>
      <w:proofErr w:type="spellStart"/>
      <w:r w:rsidRPr="008572FA">
        <w:rPr>
          <w:rFonts w:asciiTheme="minorHAnsi" w:eastAsiaTheme="minorHAnsi" w:hAnsiTheme="minorHAnsi" w:cstheme="minorBidi"/>
          <w:color w:val="0070C0"/>
          <w:lang w:val="en-US"/>
        </w:rPr>
        <w:t>Polachek</w:t>
      </w:r>
      <w:proofErr w:type="spellEnd"/>
      <w:r w:rsidRPr="008572FA">
        <w:rPr>
          <w:rFonts w:asciiTheme="minorHAnsi" w:eastAsiaTheme="minorHAnsi" w:hAnsiTheme="minorHAnsi" w:cstheme="minorBidi"/>
          <w:color w:val="0070C0"/>
          <w:lang w:val="en-US"/>
        </w:rPr>
        <w:t xml:space="preserve"> et al. 2017). The</w:t>
      </w:r>
      <w:r w:rsidRPr="008572FA">
        <w:rPr>
          <w:color w:val="0070C0"/>
          <w:lang w:val="en-US"/>
        </w:rPr>
        <w:t xml:space="preserve"> </w:t>
      </w:r>
      <w:r w:rsidRPr="008572FA">
        <w:rPr>
          <w:rFonts w:asciiTheme="minorHAnsi" w:eastAsiaTheme="minorHAnsi" w:hAnsiTheme="minorHAnsi" w:cstheme="minorBidi"/>
          <w:color w:val="0070C0"/>
          <w:lang w:val="en-US"/>
        </w:rPr>
        <w:t xml:space="preserve">inflammatory environment at the entheses </w:t>
      </w:r>
      <w:proofErr w:type="spellStart"/>
      <w:r w:rsidRPr="008572FA">
        <w:rPr>
          <w:rFonts w:asciiTheme="minorHAnsi" w:eastAsiaTheme="minorHAnsi" w:hAnsiTheme="minorHAnsi" w:cstheme="minorBidi"/>
          <w:color w:val="0070C0"/>
          <w:lang w:val="en-US"/>
        </w:rPr>
        <w:t>favours</w:t>
      </w:r>
      <w:proofErr w:type="spellEnd"/>
      <w:r w:rsidRPr="008572FA">
        <w:rPr>
          <w:rFonts w:asciiTheme="minorHAnsi" w:eastAsiaTheme="minorHAnsi" w:hAnsiTheme="minorHAnsi" w:cstheme="minorBidi"/>
          <w:color w:val="0070C0"/>
          <w:lang w:val="en-US"/>
        </w:rPr>
        <w:t xml:space="preserve"> bony spurs formation along</w:t>
      </w:r>
      <w:r w:rsidRPr="008572FA">
        <w:rPr>
          <w:color w:val="0070C0"/>
          <w:lang w:val="en-US"/>
        </w:rPr>
        <w:t xml:space="preserve"> </w:t>
      </w:r>
      <w:r w:rsidRPr="008572FA">
        <w:rPr>
          <w:rFonts w:asciiTheme="minorHAnsi" w:eastAsiaTheme="minorHAnsi" w:hAnsiTheme="minorHAnsi" w:cstheme="minorBidi"/>
          <w:color w:val="0070C0"/>
          <w:lang w:val="en-US"/>
        </w:rPr>
        <w:t>the insertion sites, similar to RA, causing structural debilitation of the joints</w:t>
      </w:r>
      <w:r w:rsidRPr="008572FA">
        <w:rPr>
          <w:color w:val="0070C0"/>
          <w:lang w:val="en-US"/>
        </w:rPr>
        <w:t xml:space="preserve"> </w:t>
      </w:r>
      <w:r w:rsidRPr="008572FA">
        <w:rPr>
          <w:rFonts w:asciiTheme="minorHAnsi" w:eastAsiaTheme="minorHAnsi" w:hAnsiTheme="minorHAnsi" w:cstheme="minorBidi"/>
          <w:color w:val="0070C0"/>
          <w:lang w:val="en-US"/>
        </w:rPr>
        <w:t xml:space="preserve">(Benjamin and </w:t>
      </w:r>
      <w:proofErr w:type="spellStart"/>
      <w:r w:rsidRPr="008572FA">
        <w:rPr>
          <w:rFonts w:asciiTheme="minorHAnsi" w:eastAsiaTheme="minorHAnsi" w:hAnsiTheme="minorHAnsi" w:cstheme="minorBidi"/>
          <w:color w:val="0070C0"/>
          <w:lang w:val="en-US"/>
        </w:rPr>
        <w:t>McGonagle</w:t>
      </w:r>
      <w:proofErr w:type="spellEnd"/>
      <w:r w:rsidRPr="008572FA">
        <w:rPr>
          <w:rFonts w:asciiTheme="minorHAnsi" w:eastAsiaTheme="minorHAnsi" w:hAnsiTheme="minorHAnsi" w:cstheme="minorBidi"/>
          <w:color w:val="0070C0"/>
          <w:lang w:val="en-US"/>
        </w:rPr>
        <w:t xml:space="preserve"> 2009; </w:t>
      </w:r>
      <w:proofErr w:type="spellStart"/>
      <w:r w:rsidRPr="008572FA">
        <w:rPr>
          <w:rFonts w:asciiTheme="minorHAnsi" w:eastAsiaTheme="minorHAnsi" w:hAnsiTheme="minorHAnsi" w:cstheme="minorBidi"/>
          <w:color w:val="0070C0"/>
          <w:lang w:val="en-US"/>
        </w:rPr>
        <w:t>Finzel</w:t>
      </w:r>
      <w:proofErr w:type="spellEnd"/>
      <w:r w:rsidRPr="008572FA">
        <w:rPr>
          <w:rFonts w:asciiTheme="minorHAnsi" w:eastAsiaTheme="minorHAnsi" w:hAnsiTheme="minorHAnsi" w:cstheme="minorBidi"/>
          <w:color w:val="0070C0"/>
          <w:lang w:val="en-US"/>
        </w:rPr>
        <w:t xml:space="preserve"> et al. 2014).</w:t>
      </w:r>
      <w:r w:rsidR="008572FA">
        <w:rPr>
          <w:color w:val="0070C0"/>
          <w:lang w:val="en-US"/>
        </w:rPr>
        <w:t>”</w:t>
      </w:r>
      <w:r w:rsidRPr="008572FA">
        <w:rPr>
          <w:color w:val="0070C0"/>
          <w:lang w:val="en-US"/>
        </w:rPr>
        <w:t xml:space="preserve"> </w:t>
      </w:r>
    </w:p>
    <w:p w14:paraId="7EFCC86D" w14:textId="77777777" w:rsidR="008572FA" w:rsidRDefault="008572FA" w:rsidP="00067AF7">
      <w:pPr>
        <w:pStyle w:val="ListParagraph"/>
        <w:tabs>
          <w:tab w:val="left" w:pos="284"/>
        </w:tabs>
        <w:ind w:left="0"/>
        <w:jc w:val="both"/>
        <w:rPr>
          <w:color w:val="FF0000"/>
        </w:rPr>
      </w:pPr>
    </w:p>
    <w:p w14:paraId="616722C0" w14:textId="7E7D62CB" w:rsidR="004A7F75" w:rsidRPr="00067AF7" w:rsidRDefault="008572FA" w:rsidP="00126549">
      <w:pPr>
        <w:autoSpaceDE w:val="0"/>
        <w:autoSpaceDN w:val="0"/>
        <w:adjustRightInd w:val="0"/>
        <w:jc w:val="both"/>
        <w:rPr>
          <w:color w:val="FF0000"/>
          <w:lang w:val="en-US"/>
        </w:rPr>
      </w:pPr>
      <w:r>
        <w:rPr>
          <w:color w:val="FF0000"/>
        </w:rPr>
        <w:t xml:space="preserve">New: </w:t>
      </w:r>
      <w:r w:rsidR="00BF2D66">
        <w:rPr>
          <w:color w:val="FF0000"/>
        </w:rPr>
        <w:t>“</w:t>
      </w:r>
      <w:r w:rsidRPr="008572FA">
        <w:rPr>
          <w:color w:val="FF0000"/>
        </w:rPr>
        <w:t>﻿</w:t>
      </w:r>
      <w:r w:rsidR="00126549">
        <w:rPr>
          <w:rFonts w:eastAsiaTheme="minorHAnsi"/>
          <w:color w:val="FF0000"/>
          <w:lang w:val="en-US"/>
        </w:rPr>
        <w:t xml:space="preserve">As a result, alterations in bone </w:t>
      </w:r>
      <w:proofErr w:type="spellStart"/>
      <w:r w:rsidR="00126549">
        <w:rPr>
          <w:rFonts w:eastAsiaTheme="minorHAnsi"/>
          <w:color w:val="FF0000"/>
          <w:lang w:val="en-US"/>
        </w:rPr>
        <w:t>remodelling</w:t>
      </w:r>
      <w:proofErr w:type="spellEnd"/>
      <w:r w:rsidR="00126549">
        <w:rPr>
          <w:rFonts w:eastAsiaTheme="minorHAnsi"/>
          <w:color w:val="FF0000"/>
          <w:lang w:val="en-US"/>
        </w:rPr>
        <w:t xml:space="preserve"> lead to osteolysis, bone resorption and erosion at the affected joints (Mensah et al. 2008). Moreover, 35% of </w:t>
      </w:r>
      <w:proofErr w:type="spellStart"/>
      <w:r w:rsidR="00126549">
        <w:rPr>
          <w:rFonts w:eastAsiaTheme="minorHAnsi"/>
          <w:color w:val="FF0000"/>
          <w:lang w:val="en-US"/>
        </w:rPr>
        <w:t>PsA</w:t>
      </w:r>
      <w:proofErr w:type="spellEnd"/>
      <w:r w:rsidR="00126549">
        <w:rPr>
          <w:rFonts w:eastAsiaTheme="minorHAnsi"/>
          <w:color w:val="FF0000"/>
          <w:lang w:val="en-US"/>
        </w:rPr>
        <w:t xml:space="preserve"> patients also undergo inflammation of the connective tissue at the insertion of tendons or ligaments, a phenomenon known as </w:t>
      </w:r>
      <w:proofErr w:type="spellStart"/>
      <w:r w:rsidR="00126549">
        <w:rPr>
          <w:rFonts w:eastAsiaTheme="minorHAnsi"/>
          <w:color w:val="FF0000"/>
          <w:lang w:val="en-US"/>
        </w:rPr>
        <w:t>enthesitis</w:t>
      </w:r>
      <w:proofErr w:type="spellEnd"/>
      <w:r w:rsidR="00126549">
        <w:rPr>
          <w:rFonts w:eastAsiaTheme="minorHAnsi"/>
          <w:color w:val="FF0000"/>
          <w:lang w:val="en-US"/>
        </w:rPr>
        <w:t xml:space="preserve"> (</w:t>
      </w:r>
      <w:proofErr w:type="spellStart"/>
      <w:r w:rsidR="00126549">
        <w:rPr>
          <w:rFonts w:eastAsiaTheme="minorHAnsi"/>
          <w:color w:val="FF0000"/>
          <w:lang w:val="en-US"/>
        </w:rPr>
        <w:t>McGonagle</w:t>
      </w:r>
      <w:proofErr w:type="spellEnd"/>
      <w:r w:rsidR="00126549">
        <w:rPr>
          <w:rFonts w:eastAsiaTheme="minorHAnsi"/>
          <w:color w:val="FF0000"/>
          <w:lang w:val="en-US"/>
        </w:rPr>
        <w:t xml:space="preserve"> et al. 2011; </w:t>
      </w:r>
      <w:proofErr w:type="spellStart"/>
      <w:r w:rsidR="00126549">
        <w:rPr>
          <w:rFonts w:eastAsiaTheme="minorHAnsi"/>
          <w:color w:val="FF0000"/>
          <w:lang w:val="en-US"/>
        </w:rPr>
        <w:t>Polachek</w:t>
      </w:r>
      <w:proofErr w:type="spellEnd"/>
      <w:r w:rsidR="00126549">
        <w:rPr>
          <w:rFonts w:eastAsiaTheme="minorHAnsi"/>
          <w:color w:val="FF0000"/>
          <w:lang w:val="en-US"/>
        </w:rPr>
        <w:t xml:space="preserve"> et al. 2017). The inflammatory environment at the entheses </w:t>
      </w:r>
      <w:proofErr w:type="spellStart"/>
      <w:r w:rsidR="00126549">
        <w:rPr>
          <w:rFonts w:eastAsiaTheme="minorHAnsi"/>
          <w:color w:val="FF0000"/>
          <w:lang w:val="en-US"/>
        </w:rPr>
        <w:t>favours</w:t>
      </w:r>
      <w:proofErr w:type="spellEnd"/>
      <w:r w:rsidR="00126549">
        <w:rPr>
          <w:rFonts w:eastAsiaTheme="minorHAnsi"/>
          <w:color w:val="FF0000"/>
          <w:lang w:val="en-US"/>
        </w:rPr>
        <w:t xml:space="preserve"> bone spurs formation along the insertion sites, similar to RA, causing structural debilitation of the joints (Benjamin and </w:t>
      </w:r>
      <w:proofErr w:type="spellStart"/>
      <w:r w:rsidR="00126549">
        <w:rPr>
          <w:rFonts w:eastAsiaTheme="minorHAnsi"/>
          <w:color w:val="FF0000"/>
          <w:lang w:val="en-US"/>
        </w:rPr>
        <w:t>McGonagle</w:t>
      </w:r>
      <w:proofErr w:type="spellEnd"/>
      <w:r w:rsidR="00126549">
        <w:rPr>
          <w:rFonts w:eastAsiaTheme="minorHAnsi"/>
          <w:color w:val="FF0000"/>
          <w:lang w:val="en-US"/>
        </w:rPr>
        <w:t xml:space="preserve"> 2009; </w:t>
      </w:r>
      <w:proofErr w:type="spellStart"/>
      <w:r w:rsidR="00126549">
        <w:rPr>
          <w:rFonts w:eastAsiaTheme="minorHAnsi"/>
          <w:color w:val="FF0000"/>
          <w:lang w:val="en-US"/>
        </w:rPr>
        <w:t>Finzel</w:t>
      </w:r>
      <w:proofErr w:type="spellEnd"/>
      <w:r w:rsidR="00126549">
        <w:rPr>
          <w:rFonts w:eastAsiaTheme="minorHAnsi"/>
          <w:color w:val="FF0000"/>
          <w:lang w:val="en-US"/>
        </w:rPr>
        <w:t xml:space="preserve"> et al. 2014). Interestingly, </w:t>
      </w:r>
      <w:proofErr w:type="spellStart"/>
      <w:r w:rsidR="00126549">
        <w:rPr>
          <w:rFonts w:eastAsiaTheme="minorHAnsi"/>
          <w:color w:val="FF0000"/>
          <w:lang w:val="en-US"/>
        </w:rPr>
        <w:t>enthesitis</w:t>
      </w:r>
      <w:proofErr w:type="spellEnd"/>
      <w:r w:rsidR="00126549">
        <w:rPr>
          <w:rFonts w:eastAsiaTheme="minorHAnsi"/>
          <w:color w:val="FF0000"/>
          <w:lang w:val="en-US"/>
        </w:rPr>
        <w:t xml:space="preserve"> has been identified as the main mechanism driving dactylitis, which is importantly </w:t>
      </w:r>
      <w:proofErr w:type="spellStart"/>
      <w:r w:rsidR="00126549">
        <w:rPr>
          <w:rFonts w:eastAsiaTheme="minorHAnsi"/>
          <w:color w:val="FF0000"/>
          <w:lang w:val="en-US"/>
        </w:rPr>
        <w:t>characterised</w:t>
      </w:r>
      <w:proofErr w:type="spellEnd"/>
      <w:r w:rsidR="00126549">
        <w:rPr>
          <w:rFonts w:eastAsiaTheme="minorHAnsi"/>
          <w:color w:val="FF0000"/>
          <w:lang w:val="en-US"/>
        </w:rPr>
        <w:t xml:space="preserve"> by tenosynovitis of the flexor tendons that are constrained by accessory pulleys (sites of compressive and tensile biophysical stress). The accessory pulleys behave as functional entheses and high-resolution magnetic resonance imaging has shown inflammation of this structure in early dactylitis (</w:t>
      </w:r>
      <w:proofErr w:type="spellStart"/>
      <w:r w:rsidR="00126549">
        <w:rPr>
          <w:rFonts w:eastAsiaTheme="minorHAnsi"/>
          <w:color w:val="FF0000"/>
          <w:lang w:val="en-US"/>
        </w:rPr>
        <w:t>McGonagle</w:t>
      </w:r>
      <w:proofErr w:type="spellEnd"/>
      <w:r w:rsidR="00126549">
        <w:rPr>
          <w:rFonts w:eastAsiaTheme="minorHAnsi"/>
          <w:color w:val="FF0000"/>
          <w:lang w:val="en-US"/>
        </w:rPr>
        <w:t xml:space="preserve"> et al. 2019).</w:t>
      </w:r>
      <w:r>
        <w:rPr>
          <w:color w:val="FF0000"/>
        </w:rPr>
        <w:t>”</w:t>
      </w:r>
    </w:p>
    <w:p w14:paraId="11477CBD" w14:textId="77777777" w:rsidR="006E2C58" w:rsidRDefault="006E2C58" w:rsidP="006E2C58">
      <w:pPr>
        <w:tabs>
          <w:tab w:val="left" w:pos="284"/>
        </w:tabs>
        <w:jc w:val="both"/>
        <w:rPr>
          <w:b/>
          <w:sz w:val="28"/>
          <w:szCs w:val="28"/>
        </w:rPr>
      </w:pPr>
    </w:p>
    <w:p w14:paraId="7E892BC2" w14:textId="77777777" w:rsidR="006E2C58" w:rsidRDefault="006E2C58" w:rsidP="006E2C58">
      <w:pPr>
        <w:tabs>
          <w:tab w:val="left" w:pos="284"/>
        </w:tabs>
        <w:jc w:val="both"/>
        <w:rPr>
          <w:b/>
          <w:sz w:val="28"/>
          <w:szCs w:val="28"/>
        </w:rPr>
      </w:pPr>
    </w:p>
    <w:p w14:paraId="6F60AE28" w14:textId="77777777" w:rsidR="006E2C58" w:rsidRPr="006E2C58" w:rsidRDefault="006E2C58" w:rsidP="006E2C58">
      <w:pPr>
        <w:tabs>
          <w:tab w:val="left" w:pos="284"/>
        </w:tabs>
        <w:jc w:val="both"/>
        <w:rPr>
          <w:b/>
          <w:sz w:val="28"/>
          <w:szCs w:val="28"/>
        </w:rPr>
      </w:pPr>
    </w:p>
    <w:p w14:paraId="6B0617F5" w14:textId="77777777" w:rsidR="00D709D1" w:rsidRDefault="00D709D1" w:rsidP="006E2C58">
      <w:pPr>
        <w:pStyle w:val="ListParagraph"/>
        <w:numPr>
          <w:ilvl w:val="0"/>
          <w:numId w:val="1"/>
        </w:numPr>
        <w:tabs>
          <w:tab w:val="left" w:pos="284"/>
        </w:tabs>
        <w:ind w:left="0" w:firstLine="0"/>
        <w:jc w:val="both"/>
        <w:rPr>
          <w:b/>
          <w:sz w:val="28"/>
          <w:szCs w:val="28"/>
        </w:rPr>
      </w:pPr>
      <w:r w:rsidRPr="00D709D1">
        <w:rPr>
          <w:b/>
          <w:sz w:val="28"/>
          <w:szCs w:val="28"/>
        </w:rPr>
        <w:t xml:space="preserve">A sentence explaining why </w:t>
      </w:r>
      <w:proofErr w:type="spellStart"/>
      <w:r w:rsidRPr="00D709D1">
        <w:rPr>
          <w:b/>
          <w:sz w:val="28"/>
          <w:szCs w:val="28"/>
        </w:rPr>
        <w:t>PsA</w:t>
      </w:r>
      <w:proofErr w:type="spellEnd"/>
      <w:r w:rsidRPr="00D709D1">
        <w:rPr>
          <w:b/>
          <w:sz w:val="28"/>
          <w:szCs w:val="28"/>
        </w:rPr>
        <w:t xml:space="preserve"> and psoriasis may be increasing could be included on page 2.</w:t>
      </w:r>
    </w:p>
    <w:p w14:paraId="424244E8" w14:textId="77777777" w:rsidR="005D2D1C" w:rsidRDefault="005D2D1C" w:rsidP="007E06A7">
      <w:pPr>
        <w:pStyle w:val="ListParagraph"/>
        <w:tabs>
          <w:tab w:val="left" w:pos="284"/>
        </w:tabs>
        <w:ind w:left="0"/>
        <w:jc w:val="both"/>
        <w:rPr>
          <w:color w:val="000000" w:themeColor="text1"/>
        </w:rPr>
      </w:pPr>
    </w:p>
    <w:p w14:paraId="39A89478" w14:textId="5C83AAF4" w:rsidR="005D2D1C" w:rsidRPr="005D2D1C" w:rsidRDefault="00844E2B" w:rsidP="007E06A7">
      <w:pPr>
        <w:pStyle w:val="ListParagraph"/>
        <w:tabs>
          <w:tab w:val="left" w:pos="284"/>
        </w:tabs>
        <w:ind w:left="0"/>
        <w:jc w:val="both"/>
        <w:rPr>
          <w:color w:val="000000" w:themeColor="text1"/>
        </w:rPr>
      </w:pPr>
      <w:r w:rsidRPr="005D2D1C">
        <w:rPr>
          <w:color w:val="000000" w:themeColor="text1"/>
        </w:rPr>
        <w:t xml:space="preserve">I have </w:t>
      </w:r>
      <w:r w:rsidR="00067AF7" w:rsidRPr="005D2D1C">
        <w:rPr>
          <w:color w:val="000000" w:themeColor="text1"/>
        </w:rPr>
        <w:t xml:space="preserve">re-written </w:t>
      </w:r>
      <w:r w:rsidRPr="005D2D1C">
        <w:rPr>
          <w:color w:val="000000" w:themeColor="text1"/>
        </w:rPr>
        <w:t>page 2 paragraph</w:t>
      </w:r>
      <w:r w:rsidR="005D2D1C" w:rsidRPr="005D2D1C">
        <w:rPr>
          <w:color w:val="000000" w:themeColor="text1"/>
        </w:rPr>
        <w:t>:</w:t>
      </w:r>
    </w:p>
    <w:p w14:paraId="2F136E8F" w14:textId="77777777" w:rsidR="005D2D1C" w:rsidRDefault="005D2D1C" w:rsidP="007E06A7">
      <w:pPr>
        <w:pStyle w:val="ListParagraph"/>
        <w:tabs>
          <w:tab w:val="left" w:pos="284"/>
        </w:tabs>
        <w:ind w:left="0"/>
        <w:jc w:val="both"/>
        <w:rPr>
          <w:color w:val="FF0000"/>
        </w:rPr>
      </w:pPr>
    </w:p>
    <w:p w14:paraId="28B151EE" w14:textId="2FCB9E38" w:rsidR="005D2D1C" w:rsidRPr="005D2D1C" w:rsidRDefault="005D2D1C" w:rsidP="005D2D1C">
      <w:pPr>
        <w:pStyle w:val="ListParagraph"/>
        <w:tabs>
          <w:tab w:val="left" w:pos="284"/>
        </w:tabs>
        <w:ind w:left="0"/>
        <w:jc w:val="both"/>
        <w:rPr>
          <w:color w:val="0070C0"/>
          <w:lang w:val="en-US"/>
        </w:rPr>
      </w:pPr>
      <w:r w:rsidRPr="005D2D1C">
        <w:rPr>
          <w:color w:val="0070C0"/>
          <w:lang w:val="en-US"/>
        </w:rPr>
        <w:t xml:space="preserve">Old: “On the other hand, cases of </w:t>
      </w:r>
      <w:proofErr w:type="spellStart"/>
      <w:r w:rsidRPr="005D2D1C">
        <w:rPr>
          <w:color w:val="0070C0"/>
          <w:lang w:val="en-US"/>
        </w:rPr>
        <w:t>PsA</w:t>
      </w:r>
      <w:proofErr w:type="spellEnd"/>
      <w:r w:rsidRPr="005D2D1C">
        <w:rPr>
          <w:color w:val="0070C0"/>
          <w:lang w:val="en-US"/>
        </w:rPr>
        <w:t xml:space="preserve"> in the general population varies between 0.04 and 1.2% occurring in 10 to 30% of psoriasis patients, evidencing the strong association between the two diseases (Gelfand et al. 2005; Reich et al. 2015; </w:t>
      </w:r>
      <w:proofErr w:type="spellStart"/>
      <w:r w:rsidRPr="005D2D1C">
        <w:rPr>
          <w:color w:val="0070C0"/>
          <w:lang w:val="en-US"/>
        </w:rPr>
        <w:t>Perera</w:t>
      </w:r>
      <w:proofErr w:type="spellEnd"/>
      <w:r w:rsidRPr="005D2D1C">
        <w:rPr>
          <w:color w:val="0070C0"/>
          <w:lang w:val="en-US"/>
        </w:rPr>
        <w:t xml:space="preserve"> et al. 2012). Overall, data suggest a steady increase in both psoriasis and </w:t>
      </w:r>
      <w:proofErr w:type="spellStart"/>
      <w:r w:rsidRPr="005D2D1C">
        <w:rPr>
          <w:color w:val="0070C0"/>
          <w:lang w:val="en-US"/>
        </w:rPr>
        <w:t>PsA</w:t>
      </w:r>
      <w:proofErr w:type="spellEnd"/>
      <w:r w:rsidRPr="005D2D1C">
        <w:rPr>
          <w:color w:val="0070C0"/>
          <w:lang w:val="en-US"/>
        </w:rPr>
        <w:t xml:space="preserve"> prevalence over the last 30 years (</w:t>
      </w:r>
      <w:proofErr w:type="spellStart"/>
      <w:r w:rsidRPr="005D2D1C">
        <w:rPr>
          <w:color w:val="0070C0"/>
          <w:lang w:val="en-US"/>
        </w:rPr>
        <w:t>Springate</w:t>
      </w:r>
      <w:proofErr w:type="spellEnd"/>
      <w:r w:rsidRPr="005D2D1C">
        <w:rPr>
          <w:color w:val="0070C0"/>
          <w:lang w:val="en-US"/>
        </w:rPr>
        <w:t xml:space="preserve"> et al. 2017; Organization 2016).”</w:t>
      </w:r>
    </w:p>
    <w:p w14:paraId="7542A319" w14:textId="77777777" w:rsidR="005D2D1C" w:rsidRDefault="005D2D1C" w:rsidP="005D2D1C">
      <w:pPr>
        <w:pStyle w:val="ListParagraph"/>
        <w:tabs>
          <w:tab w:val="left" w:pos="284"/>
        </w:tabs>
        <w:ind w:left="0"/>
        <w:rPr>
          <w:color w:val="FF0000"/>
        </w:rPr>
      </w:pPr>
    </w:p>
    <w:p w14:paraId="4CDC10DB" w14:textId="4E2BC398" w:rsidR="00582CE4" w:rsidRDefault="005D2D1C" w:rsidP="00BC6D44">
      <w:pPr>
        <w:autoSpaceDE w:val="0"/>
        <w:autoSpaceDN w:val="0"/>
        <w:adjustRightInd w:val="0"/>
        <w:jc w:val="both"/>
        <w:rPr>
          <w:color w:val="FF0000"/>
        </w:rPr>
      </w:pPr>
      <w:r>
        <w:rPr>
          <w:color w:val="FF0000"/>
        </w:rPr>
        <w:t xml:space="preserve">New: </w:t>
      </w:r>
      <w:r w:rsidR="00844E2B" w:rsidRPr="007E06A7">
        <w:rPr>
          <w:color w:val="FF0000"/>
        </w:rPr>
        <w:t>“</w:t>
      </w:r>
      <w:r w:rsidR="00D861A0" w:rsidRPr="007E06A7">
        <w:rPr>
          <w:rFonts w:ascii="Courier New" w:hAnsi="Courier New" w:cs="Courier New"/>
          <w:color w:val="FF0000"/>
        </w:rPr>
        <w:t>﻿</w:t>
      </w:r>
      <w:r w:rsidR="00BC6D44">
        <w:rPr>
          <w:rFonts w:eastAsiaTheme="minorHAnsi"/>
          <w:color w:val="FF0000"/>
          <w:lang w:val="en-US"/>
        </w:rPr>
        <w:t xml:space="preserve">For </w:t>
      </w:r>
      <w:proofErr w:type="spellStart"/>
      <w:r w:rsidR="00BC6D44">
        <w:rPr>
          <w:rFonts w:eastAsiaTheme="minorHAnsi"/>
          <w:color w:val="FF0000"/>
          <w:lang w:val="en-US"/>
        </w:rPr>
        <w:t>PsA</w:t>
      </w:r>
      <w:proofErr w:type="spellEnd"/>
      <w:r w:rsidR="00BC6D44">
        <w:rPr>
          <w:rFonts w:eastAsiaTheme="minorHAnsi"/>
          <w:color w:val="FF0000"/>
          <w:lang w:val="en-US"/>
        </w:rPr>
        <w:t xml:space="preserve">, incidence in the general population varies between 0.04 and 1.2%, with peak age of onset between the 35 and 45 years of age. The estimation of psoriasis patients with </w:t>
      </w:r>
      <w:proofErr w:type="spellStart"/>
      <w:r w:rsidR="00BC6D44">
        <w:rPr>
          <w:rFonts w:eastAsiaTheme="minorHAnsi"/>
          <w:color w:val="FF0000"/>
          <w:lang w:val="en-US"/>
        </w:rPr>
        <w:t>concominant</w:t>
      </w:r>
      <w:proofErr w:type="spellEnd"/>
      <w:r w:rsidR="00BC6D44">
        <w:rPr>
          <w:rFonts w:eastAsiaTheme="minorHAnsi"/>
          <w:color w:val="FF0000"/>
          <w:lang w:val="en-US"/>
        </w:rPr>
        <w:t xml:space="preserve"> </w:t>
      </w:r>
      <w:proofErr w:type="spellStart"/>
      <w:r w:rsidR="00BC6D44">
        <w:rPr>
          <w:rFonts w:eastAsiaTheme="minorHAnsi"/>
          <w:color w:val="FF0000"/>
          <w:lang w:val="en-US"/>
        </w:rPr>
        <w:t>PsA</w:t>
      </w:r>
      <w:proofErr w:type="spellEnd"/>
      <w:r w:rsidR="00BC6D44">
        <w:rPr>
          <w:rFonts w:eastAsiaTheme="minorHAnsi"/>
          <w:color w:val="FF0000"/>
          <w:lang w:val="en-US"/>
        </w:rPr>
        <w:t xml:space="preserve"> ranges from 10 to 30%, with arthritis onset occurring approximately ten years after the onset of the skin disease (Greb2016). This clearly evidences the strong association between both diseases (Gelfand et al. 2005; Reich et al. 2015; </w:t>
      </w:r>
      <w:proofErr w:type="spellStart"/>
      <w:r w:rsidR="00BC6D44">
        <w:rPr>
          <w:rFonts w:eastAsiaTheme="minorHAnsi"/>
          <w:color w:val="FF0000"/>
          <w:lang w:val="en-US"/>
        </w:rPr>
        <w:t>Perera</w:t>
      </w:r>
      <w:proofErr w:type="spellEnd"/>
      <w:r w:rsidR="00BC6D44">
        <w:rPr>
          <w:rFonts w:eastAsiaTheme="minorHAnsi"/>
          <w:color w:val="FF0000"/>
          <w:lang w:val="en-US"/>
        </w:rPr>
        <w:t xml:space="preserve"> et al. 2012).</w:t>
      </w:r>
      <w:r w:rsidR="00844E2B" w:rsidRPr="007E06A7">
        <w:rPr>
          <w:color w:val="FF0000"/>
        </w:rPr>
        <w:t>”</w:t>
      </w:r>
    </w:p>
    <w:p w14:paraId="0329642B" w14:textId="77777777" w:rsidR="00582CE4" w:rsidRDefault="00582CE4" w:rsidP="007E06A7">
      <w:pPr>
        <w:pStyle w:val="ListParagraph"/>
        <w:tabs>
          <w:tab w:val="left" w:pos="284"/>
        </w:tabs>
        <w:ind w:left="0"/>
        <w:jc w:val="both"/>
        <w:rPr>
          <w:color w:val="FF0000"/>
        </w:rPr>
      </w:pPr>
    </w:p>
    <w:p w14:paraId="63D213B4" w14:textId="317D2385" w:rsidR="00844E2B" w:rsidRPr="007E06A7" w:rsidRDefault="00844E2B" w:rsidP="00BC6D44">
      <w:pPr>
        <w:autoSpaceDE w:val="0"/>
        <w:autoSpaceDN w:val="0"/>
        <w:adjustRightInd w:val="0"/>
        <w:jc w:val="both"/>
        <w:rPr>
          <w:color w:val="FF0000"/>
        </w:rPr>
      </w:pPr>
      <w:r w:rsidRPr="007E06A7">
        <w:rPr>
          <w:color w:val="FF0000"/>
        </w:rPr>
        <w:t>I have moved the sentence and hypothesis for the increase of psoriasis incidence in the last 30 years to the subsection of Environmental factors and disease</w:t>
      </w:r>
      <w:r w:rsidR="005D2D1C">
        <w:rPr>
          <w:color w:val="FF0000"/>
        </w:rPr>
        <w:t xml:space="preserve"> and added the following</w:t>
      </w:r>
      <w:r w:rsidR="00BC6D44">
        <w:rPr>
          <w:color w:val="FF0000"/>
        </w:rPr>
        <w:t xml:space="preserve"> </w:t>
      </w:r>
      <w:r w:rsidR="005D2D1C">
        <w:rPr>
          <w:color w:val="FF0000"/>
        </w:rPr>
        <w:t xml:space="preserve">paragraph: </w:t>
      </w:r>
      <w:r w:rsidRPr="007E06A7">
        <w:rPr>
          <w:color w:val="FF0000"/>
        </w:rPr>
        <w:t>“</w:t>
      </w:r>
      <w:r w:rsidR="003964AA" w:rsidRPr="007E06A7">
        <w:rPr>
          <w:rFonts w:ascii="Courier New" w:hAnsi="Courier New" w:cs="Courier New"/>
          <w:color w:val="FF0000"/>
        </w:rPr>
        <w:t>﻿</w:t>
      </w:r>
      <w:r w:rsidR="00BC6D44">
        <w:rPr>
          <w:rFonts w:eastAsiaTheme="minorHAnsi"/>
          <w:color w:val="FF0000"/>
          <w:lang w:val="en-US"/>
        </w:rPr>
        <w:t xml:space="preserve">Interestingly, epidemiological data suggests a steady increase in psoriasis and </w:t>
      </w:r>
      <w:proofErr w:type="spellStart"/>
      <w:r w:rsidR="00BC6D44">
        <w:rPr>
          <w:rFonts w:eastAsiaTheme="minorHAnsi"/>
          <w:color w:val="FF0000"/>
          <w:lang w:val="en-US"/>
        </w:rPr>
        <w:t>PsA</w:t>
      </w:r>
      <w:proofErr w:type="spellEnd"/>
      <w:r w:rsidR="00BC6D44">
        <w:rPr>
          <w:rFonts w:eastAsiaTheme="minorHAnsi"/>
          <w:color w:val="FF0000"/>
          <w:lang w:val="en-US"/>
        </w:rPr>
        <w:t xml:space="preserve"> prevalence over the last 30 years, particularly in older age groups (</w:t>
      </w:r>
      <w:proofErr w:type="spellStart"/>
      <w:r w:rsidR="00BC6D44">
        <w:rPr>
          <w:rFonts w:eastAsiaTheme="minorHAnsi"/>
          <w:color w:val="FF0000"/>
          <w:lang w:val="en-US"/>
        </w:rPr>
        <w:t>Springate</w:t>
      </w:r>
      <w:proofErr w:type="spellEnd"/>
      <w:r w:rsidR="00BC6D44">
        <w:rPr>
          <w:rFonts w:eastAsiaTheme="minorHAnsi"/>
          <w:color w:val="FF0000"/>
          <w:lang w:val="en-US"/>
        </w:rPr>
        <w:t xml:space="preserve"> et al. 2017; Organization 2016). This trend may be the result of the increase in frequency of various environmental risk factors over the same period of time (for example prevalence of obesity and beta blockers in patients with myocardial infarction), rather than a consequence of the improvement in diagnosis and access to medical care (</w:t>
      </w:r>
      <w:proofErr w:type="spellStart"/>
      <w:r w:rsidR="00BC6D44">
        <w:rPr>
          <w:rFonts w:eastAsiaTheme="minorHAnsi"/>
          <w:color w:val="FF0000"/>
          <w:lang w:val="en-US"/>
        </w:rPr>
        <w:t>Icen</w:t>
      </w:r>
      <w:proofErr w:type="spellEnd"/>
      <w:r w:rsidR="00BC6D44">
        <w:rPr>
          <w:rFonts w:eastAsiaTheme="minorHAnsi"/>
          <w:color w:val="FF0000"/>
          <w:lang w:val="en-US"/>
        </w:rPr>
        <w:t xml:space="preserve"> et al. 2009). Altogether this reinforces the role of environmental factors in the risk of developing psoriasis and </w:t>
      </w:r>
      <w:proofErr w:type="spellStart"/>
      <w:r w:rsidR="00BC6D44">
        <w:rPr>
          <w:rFonts w:eastAsiaTheme="minorHAnsi"/>
          <w:color w:val="FF0000"/>
          <w:lang w:val="en-US"/>
        </w:rPr>
        <w:t>PsA.</w:t>
      </w:r>
      <w:proofErr w:type="spellEnd"/>
      <w:r w:rsidRPr="007E06A7">
        <w:rPr>
          <w:color w:val="FF0000"/>
        </w:rPr>
        <w:t>”</w:t>
      </w:r>
    </w:p>
    <w:p w14:paraId="0D4ACA6B" w14:textId="77777777" w:rsidR="006E2C58" w:rsidRDefault="006E2C58" w:rsidP="006E2C58">
      <w:pPr>
        <w:tabs>
          <w:tab w:val="left" w:pos="284"/>
        </w:tabs>
        <w:jc w:val="both"/>
        <w:rPr>
          <w:b/>
          <w:sz w:val="28"/>
          <w:szCs w:val="28"/>
        </w:rPr>
      </w:pPr>
    </w:p>
    <w:p w14:paraId="09441F2D" w14:textId="77777777" w:rsidR="006E2C58" w:rsidRPr="006E2C58" w:rsidRDefault="006E2C58" w:rsidP="006E2C58">
      <w:pPr>
        <w:tabs>
          <w:tab w:val="left" w:pos="284"/>
        </w:tabs>
        <w:jc w:val="both"/>
        <w:rPr>
          <w:b/>
          <w:sz w:val="28"/>
          <w:szCs w:val="28"/>
        </w:rPr>
      </w:pPr>
    </w:p>
    <w:p w14:paraId="2E14BEE9" w14:textId="2A28FD4C" w:rsidR="00067AF7" w:rsidRDefault="00B17911" w:rsidP="006E2C58">
      <w:pPr>
        <w:pStyle w:val="ListParagraph"/>
        <w:numPr>
          <w:ilvl w:val="0"/>
          <w:numId w:val="1"/>
        </w:numPr>
        <w:tabs>
          <w:tab w:val="left" w:pos="284"/>
        </w:tabs>
        <w:ind w:left="0" w:firstLine="0"/>
        <w:jc w:val="both"/>
        <w:rPr>
          <w:b/>
          <w:sz w:val="28"/>
          <w:szCs w:val="28"/>
        </w:rPr>
      </w:pPr>
      <w:r>
        <w:rPr>
          <w:b/>
          <w:sz w:val="28"/>
          <w:szCs w:val="28"/>
        </w:rPr>
        <w:t xml:space="preserve">During the viva, </w:t>
      </w:r>
      <w:proofErr w:type="spellStart"/>
      <w:r>
        <w:rPr>
          <w:b/>
          <w:sz w:val="28"/>
          <w:szCs w:val="28"/>
        </w:rPr>
        <w:t>Profe</w:t>
      </w:r>
      <w:proofErr w:type="spellEnd"/>
      <w:r>
        <w:rPr>
          <w:b/>
          <w:sz w:val="28"/>
          <w:szCs w:val="28"/>
        </w:rPr>
        <w:t xml:space="preserve"> Anne Barton mentioned</w:t>
      </w:r>
      <w:r w:rsidR="00067AF7">
        <w:rPr>
          <w:b/>
          <w:sz w:val="28"/>
          <w:szCs w:val="28"/>
        </w:rPr>
        <w:t xml:space="preserve"> that a </w:t>
      </w:r>
      <w:proofErr w:type="spellStart"/>
      <w:r w:rsidR="00067AF7">
        <w:rPr>
          <w:b/>
          <w:sz w:val="28"/>
          <w:szCs w:val="28"/>
        </w:rPr>
        <w:t>PsA</w:t>
      </w:r>
      <w:proofErr w:type="spellEnd"/>
      <w:r w:rsidR="00067AF7">
        <w:rPr>
          <w:b/>
          <w:sz w:val="28"/>
          <w:szCs w:val="28"/>
        </w:rPr>
        <w:t xml:space="preserve"> twin study that I had not references.</w:t>
      </w:r>
    </w:p>
    <w:p w14:paraId="1DF25E69" w14:textId="77777777" w:rsidR="005D2D1C" w:rsidRDefault="005D2D1C" w:rsidP="00067AF7">
      <w:pPr>
        <w:pStyle w:val="ListParagraph"/>
        <w:tabs>
          <w:tab w:val="left" w:pos="284"/>
        </w:tabs>
        <w:ind w:left="0"/>
        <w:jc w:val="both"/>
        <w:rPr>
          <w:color w:val="000000" w:themeColor="text1"/>
        </w:rPr>
      </w:pPr>
    </w:p>
    <w:p w14:paraId="3CB12940" w14:textId="018A0B41" w:rsidR="00B17911" w:rsidRDefault="00067AF7" w:rsidP="00067AF7">
      <w:pPr>
        <w:pStyle w:val="ListParagraph"/>
        <w:tabs>
          <w:tab w:val="left" w:pos="284"/>
        </w:tabs>
        <w:ind w:left="0"/>
        <w:jc w:val="both"/>
        <w:rPr>
          <w:color w:val="000000" w:themeColor="text1"/>
        </w:rPr>
      </w:pPr>
      <w:r w:rsidRPr="005D2D1C">
        <w:rPr>
          <w:color w:val="000000" w:themeColor="text1"/>
        </w:rPr>
        <w:t xml:space="preserve">Following additional bibliographic search, the only twin study in </w:t>
      </w:r>
      <w:proofErr w:type="spellStart"/>
      <w:r w:rsidRPr="005D2D1C">
        <w:rPr>
          <w:color w:val="000000" w:themeColor="text1"/>
        </w:rPr>
        <w:t>PsA</w:t>
      </w:r>
      <w:proofErr w:type="spellEnd"/>
      <w:r w:rsidRPr="005D2D1C">
        <w:rPr>
          <w:color w:val="000000" w:themeColor="text1"/>
        </w:rPr>
        <w:t xml:space="preserve"> that I have found is the one conducted by Pedersen et al., 2008 (“On the heritability of psoriatic arthritis. Disease concordance among monozygotic and dizygotic twin”), which was already mentioned in the thesis. </w:t>
      </w:r>
      <w:r w:rsidR="005D2D1C">
        <w:rPr>
          <w:color w:val="000000" w:themeColor="text1"/>
        </w:rPr>
        <w:t>I have modified the paragraph to emphasise Pedersen study and I am happy to add another reference if Prof Anne Barton can provide it.</w:t>
      </w:r>
    </w:p>
    <w:p w14:paraId="27DE6A65" w14:textId="1AA47DDC" w:rsidR="005D2D1C" w:rsidRDefault="005D2D1C" w:rsidP="00067AF7">
      <w:pPr>
        <w:pStyle w:val="ListParagraph"/>
        <w:tabs>
          <w:tab w:val="left" w:pos="284"/>
        </w:tabs>
        <w:ind w:left="0"/>
        <w:jc w:val="both"/>
        <w:rPr>
          <w:color w:val="000000" w:themeColor="text1"/>
        </w:rPr>
      </w:pPr>
    </w:p>
    <w:p w14:paraId="337D25BF" w14:textId="4C05FA7B" w:rsidR="005D2D1C" w:rsidRDefault="005D2D1C" w:rsidP="00BC6D44">
      <w:pPr>
        <w:autoSpaceDE w:val="0"/>
        <w:autoSpaceDN w:val="0"/>
        <w:adjustRightInd w:val="0"/>
        <w:jc w:val="both"/>
        <w:rPr>
          <w:color w:val="0070C0"/>
          <w:lang w:val="en-US"/>
        </w:rPr>
      </w:pPr>
      <w:r w:rsidRPr="005D2D1C">
        <w:rPr>
          <w:color w:val="0070C0"/>
          <w:lang w:val="en-US"/>
        </w:rPr>
        <w:t>Old: “</w:t>
      </w:r>
      <w:r w:rsidRPr="005D2D1C">
        <w:rPr>
          <w:rFonts w:ascii="Courier New" w:hAnsi="Courier New" w:cs="Courier New"/>
          <w:color w:val="0070C0"/>
          <w:lang w:val="en-US"/>
        </w:rPr>
        <w:t>﻿</w:t>
      </w:r>
      <w:r w:rsidR="00BC6D44" w:rsidRPr="00BC6D44">
        <w:rPr>
          <w:color w:val="0070C0"/>
          <w:lang w:val="en-US"/>
        </w:rPr>
        <w:t xml:space="preserve">The risk of developing psoriasis and </w:t>
      </w:r>
      <w:proofErr w:type="spellStart"/>
      <w:r w:rsidR="00BC6D44" w:rsidRPr="00BC6D44">
        <w:rPr>
          <w:color w:val="0070C0"/>
          <w:lang w:val="en-US"/>
        </w:rPr>
        <w:t>PsA</w:t>
      </w:r>
      <w:proofErr w:type="spellEnd"/>
      <w:r w:rsidR="00BC6D44" w:rsidRPr="00BC6D44">
        <w:rPr>
          <w:color w:val="0070C0"/>
          <w:lang w:val="en-US"/>
        </w:rPr>
        <w:t xml:space="preserve"> is not only influenced by</w:t>
      </w:r>
      <w:r w:rsidR="00BC6D44">
        <w:rPr>
          <w:color w:val="0070C0"/>
          <w:lang w:val="en-US"/>
        </w:rPr>
        <w:t xml:space="preserve"> </w:t>
      </w:r>
      <w:r w:rsidR="00BC6D44" w:rsidRPr="00BC6D44">
        <w:rPr>
          <w:color w:val="0070C0"/>
          <w:lang w:val="en-US"/>
        </w:rPr>
        <w:t>environmental conditions but also by the genetic background of each individual.</w:t>
      </w:r>
      <w:r w:rsidR="00BC6D44">
        <w:rPr>
          <w:color w:val="0070C0"/>
          <w:lang w:val="en-US"/>
        </w:rPr>
        <w:t xml:space="preserve"> </w:t>
      </w:r>
      <w:r w:rsidR="00BC6D44" w:rsidRPr="00BC6D44">
        <w:rPr>
          <w:color w:val="0070C0"/>
          <w:lang w:val="en-US"/>
        </w:rPr>
        <w:t>The concordance of psoriasis is greater in monozygotic (33-55%) compared</w:t>
      </w:r>
      <w:r w:rsidR="00BC6D44">
        <w:rPr>
          <w:color w:val="0070C0"/>
          <w:lang w:val="en-US"/>
        </w:rPr>
        <w:t xml:space="preserve"> </w:t>
      </w:r>
      <w:r w:rsidR="00BC6D44" w:rsidRPr="00BC6D44">
        <w:rPr>
          <w:color w:val="0070C0"/>
          <w:lang w:val="en-US"/>
        </w:rPr>
        <w:t xml:space="preserve">to </w:t>
      </w:r>
      <w:proofErr w:type="spellStart"/>
      <w:r w:rsidR="00BC6D44" w:rsidRPr="00BC6D44">
        <w:rPr>
          <w:color w:val="0070C0"/>
          <w:lang w:val="en-US"/>
        </w:rPr>
        <w:t>dizyogtic</w:t>
      </w:r>
      <w:proofErr w:type="spellEnd"/>
      <w:r w:rsidR="00BC6D44" w:rsidRPr="00BC6D44">
        <w:rPr>
          <w:color w:val="0070C0"/>
          <w:lang w:val="en-US"/>
        </w:rPr>
        <w:t xml:space="preserve"> twins (13-21%), giving a heritability estimate of 80%, while no</w:t>
      </w:r>
      <w:r w:rsidR="00BC6D44">
        <w:rPr>
          <w:color w:val="0070C0"/>
          <w:lang w:val="en-US"/>
        </w:rPr>
        <w:t xml:space="preserve"> </w:t>
      </w:r>
      <w:r w:rsidR="00BC6D44" w:rsidRPr="00BC6D44">
        <w:rPr>
          <w:color w:val="0070C0"/>
          <w:lang w:val="en-US"/>
        </w:rPr>
        <w:t xml:space="preserve">difference in concordance is reported for </w:t>
      </w:r>
      <w:proofErr w:type="spellStart"/>
      <w:r w:rsidR="00BC6D44" w:rsidRPr="00BC6D44">
        <w:rPr>
          <w:color w:val="0070C0"/>
          <w:lang w:val="en-US"/>
        </w:rPr>
        <w:t>PsA</w:t>
      </w:r>
      <w:proofErr w:type="spellEnd"/>
      <w:r w:rsidR="00BC6D44" w:rsidRPr="00BC6D44">
        <w:rPr>
          <w:color w:val="0070C0"/>
          <w:lang w:val="en-US"/>
        </w:rPr>
        <w:t>, probably due to lack of statistical</w:t>
      </w:r>
      <w:r w:rsidR="00BC6D44">
        <w:rPr>
          <w:color w:val="0070C0"/>
          <w:lang w:val="en-US"/>
        </w:rPr>
        <w:t xml:space="preserve"> </w:t>
      </w:r>
      <w:r w:rsidR="00BC6D44" w:rsidRPr="00BC6D44">
        <w:rPr>
          <w:color w:val="0070C0"/>
          <w:lang w:val="en-US"/>
        </w:rPr>
        <w:t>power and appropriate diagnosis (Farber et al. 1974; Duffy et al. 1993; Pedersen</w:t>
      </w:r>
      <w:r w:rsidR="00BC6D44">
        <w:rPr>
          <w:color w:val="0070C0"/>
          <w:lang w:val="en-US"/>
        </w:rPr>
        <w:t xml:space="preserve"> </w:t>
      </w:r>
      <w:r w:rsidR="00BC6D44" w:rsidRPr="00BC6D44">
        <w:rPr>
          <w:color w:val="0070C0"/>
          <w:lang w:val="en-US"/>
        </w:rPr>
        <w:t>et al. 2008). In the general population, approximately 40% of patients with</w:t>
      </w:r>
      <w:r w:rsidR="00BC6D44">
        <w:rPr>
          <w:color w:val="0070C0"/>
          <w:lang w:val="en-US"/>
        </w:rPr>
        <w:t xml:space="preserve"> </w:t>
      </w:r>
      <w:r w:rsidR="00BC6D44" w:rsidRPr="00BC6D44">
        <w:rPr>
          <w:color w:val="0070C0"/>
          <w:lang w:val="en-US"/>
        </w:rPr>
        <w:t xml:space="preserve">psoriasis or </w:t>
      </w:r>
      <w:proofErr w:type="spellStart"/>
      <w:r w:rsidR="00BC6D44" w:rsidRPr="00BC6D44">
        <w:rPr>
          <w:color w:val="0070C0"/>
          <w:lang w:val="en-US"/>
        </w:rPr>
        <w:t>PsA</w:t>
      </w:r>
      <w:proofErr w:type="spellEnd"/>
      <w:r w:rsidR="00BC6D44" w:rsidRPr="00BC6D44">
        <w:rPr>
          <w:color w:val="0070C0"/>
          <w:lang w:val="en-US"/>
        </w:rPr>
        <w:t xml:space="preserve"> have a family history in first degree relatives (</w:t>
      </w:r>
      <w:proofErr w:type="spellStart"/>
      <w:r w:rsidR="00BC6D44" w:rsidRPr="00BC6D44">
        <w:rPr>
          <w:color w:val="0070C0"/>
          <w:lang w:val="en-US"/>
        </w:rPr>
        <w:t>Gladman</w:t>
      </w:r>
      <w:proofErr w:type="spellEnd"/>
      <w:r w:rsidR="00BC6D44" w:rsidRPr="00BC6D44">
        <w:rPr>
          <w:color w:val="0070C0"/>
          <w:lang w:val="en-US"/>
        </w:rPr>
        <w:t xml:space="preserve"> et al.</w:t>
      </w:r>
      <w:r w:rsidR="00BC6D44">
        <w:rPr>
          <w:color w:val="0070C0"/>
          <w:lang w:val="en-US"/>
        </w:rPr>
        <w:t xml:space="preserve"> </w:t>
      </w:r>
      <w:r w:rsidR="00BC6D44" w:rsidRPr="00BC6D44">
        <w:rPr>
          <w:color w:val="0070C0"/>
          <w:lang w:val="en-US"/>
        </w:rPr>
        <w:t>1986). Interestingly, the recurrence rate in first-degree relatives has been shown</w:t>
      </w:r>
      <w:r w:rsidR="00BC6D44">
        <w:rPr>
          <w:color w:val="0070C0"/>
          <w:lang w:val="en-US"/>
        </w:rPr>
        <w:t xml:space="preserve"> </w:t>
      </w:r>
      <w:r w:rsidR="00BC6D44" w:rsidRPr="00BC6D44">
        <w:rPr>
          <w:color w:val="0070C0"/>
          <w:lang w:val="en-US"/>
        </w:rPr>
        <w:t xml:space="preserve">to be greater in </w:t>
      </w:r>
      <w:proofErr w:type="spellStart"/>
      <w:r w:rsidR="00BC6D44" w:rsidRPr="00BC6D44">
        <w:rPr>
          <w:color w:val="0070C0"/>
          <w:lang w:val="en-US"/>
        </w:rPr>
        <w:t>PsA</w:t>
      </w:r>
      <w:proofErr w:type="spellEnd"/>
      <w:r w:rsidR="00BC6D44" w:rsidRPr="00BC6D44">
        <w:rPr>
          <w:color w:val="0070C0"/>
          <w:lang w:val="en-US"/>
        </w:rPr>
        <w:t xml:space="preserve"> (40%) compared to psoriasis (8%) in a study in the Icelandic</w:t>
      </w:r>
      <w:r w:rsidR="00BC6D44">
        <w:rPr>
          <w:color w:val="0070C0"/>
          <w:lang w:val="en-US"/>
        </w:rPr>
        <w:t xml:space="preserve"> </w:t>
      </w:r>
      <w:r w:rsidR="00BC6D44" w:rsidRPr="00BC6D44">
        <w:rPr>
          <w:color w:val="0070C0"/>
          <w:lang w:val="en-US"/>
        </w:rPr>
        <w:t>population (Chandran et al. 2009). Altogether, this may suggest differences in the</w:t>
      </w:r>
      <w:r w:rsidR="00BC6D44">
        <w:rPr>
          <w:color w:val="0070C0"/>
          <w:lang w:val="en-US"/>
        </w:rPr>
        <w:t xml:space="preserve"> </w:t>
      </w:r>
      <w:r w:rsidR="00BC6D44" w:rsidRPr="00BC6D44">
        <w:rPr>
          <w:color w:val="0070C0"/>
          <w:lang w:val="en-US"/>
        </w:rPr>
        <w:t>heritability between the two</w:t>
      </w:r>
      <w:r w:rsidR="00BC6D44">
        <w:rPr>
          <w:color w:val="0070C0"/>
          <w:lang w:val="en-US"/>
        </w:rPr>
        <w:t xml:space="preserve"> </w:t>
      </w:r>
      <w:r w:rsidR="00BC6D44" w:rsidRPr="00BC6D44">
        <w:rPr>
          <w:color w:val="0070C0"/>
          <w:lang w:val="en-US"/>
        </w:rPr>
        <w:t>phenotypes and a stronger genetic contribution in</w:t>
      </w:r>
      <w:r w:rsidR="00BC6D44">
        <w:rPr>
          <w:color w:val="0070C0"/>
          <w:lang w:val="en-US"/>
        </w:rPr>
        <w:t xml:space="preserve"> </w:t>
      </w:r>
      <w:proofErr w:type="spellStart"/>
      <w:r w:rsidR="00BC6D44" w:rsidRPr="00BC6D44">
        <w:rPr>
          <w:color w:val="0070C0"/>
          <w:lang w:val="en-US"/>
        </w:rPr>
        <w:t>PsA.</w:t>
      </w:r>
      <w:proofErr w:type="spellEnd"/>
      <w:r w:rsidRPr="005D2D1C">
        <w:rPr>
          <w:color w:val="0070C0"/>
          <w:lang w:val="en-US"/>
        </w:rPr>
        <w:t>”</w:t>
      </w:r>
    </w:p>
    <w:p w14:paraId="650AFE94" w14:textId="71D571CB" w:rsidR="00E90754" w:rsidRDefault="00E90754" w:rsidP="00067AF7">
      <w:pPr>
        <w:pStyle w:val="ListParagraph"/>
        <w:tabs>
          <w:tab w:val="left" w:pos="284"/>
        </w:tabs>
        <w:ind w:left="0"/>
        <w:jc w:val="both"/>
        <w:rPr>
          <w:color w:val="0070C0"/>
          <w:lang w:val="en-US"/>
        </w:rPr>
      </w:pPr>
    </w:p>
    <w:p w14:paraId="61C16A29" w14:textId="3A5586F5" w:rsidR="00BC6D44" w:rsidRPr="00BC6D44" w:rsidRDefault="00E90754" w:rsidP="00BC6D44">
      <w:pPr>
        <w:pStyle w:val="ListParagraph"/>
        <w:tabs>
          <w:tab w:val="left" w:pos="284"/>
        </w:tabs>
        <w:ind w:left="0"/>
        <w:jc w:val="both"/>
        <w:rPr>
          <w:color w:val="FF0000"/>
          <w:lang w:val="en-US"/>
        </w:rPr>
      </w:pPr>
      <w:r w:rsidRPr="004D7970">
        <w:rPr>
          <w:color w:val="FF0000"/>
          <w:lang w:val="en-US"/>
        </w:rPr>
        <w:t xml:space="preserve">New: </w:t>
      </w:r>
      <w:r w:rsidR="00FE79A5" w:rsidRPr="004D7970">
        <w:rPr>
          <w:color w:val="FF0000"/>
          <w:lang w:val="en-US"/>
        </w:rPr>
        <w:t>“</w:t>
      </w:r>
      <w:r w:rsidR="004D7970" w:rsidRPr="00BC6D44">
        <w:rPr>
          <w:rFonts w:ascii="Courier New" w:hAnsi="Courier New" w:cs="Courier New"/>
          <w:color w:val="FF0000"/>
          <w:lang w:val="en-US"/>
        </w:rPr>
        <w:t>﻿</w:t>
      </w:r>
      <w:r w:rsidR="00BC6D44" w:rsidRPr="00BC6D44">
        <w:rPr>
          <w:color w:val="FF0000"/>
          <w:lang w:val="en-US"/>
        </w:rPr>
        <w:t xml:space="preserve">The risk of developing psoriasis and </w:t>
      </w:r>
      <w:proofErr w:type="spellStart"/>
      <w:r w:rsidR="00BC6D44" w:rsidRPr="00BC6D44">
        <w:rPr>
          <w:color w:val="FF0000"/>
          <w:lang w:val="en-US"/>
        </w:rPr>
        <w:t>PsA</w:t>
      </w:r>
      <w:proofErr w:type="spellEnd"/>
      <w:r w:rsidR="00BC6D44" w:rsidRPr="00BC6D44">
        <w:rPr>
          <w:color w:val="FF0000"/>
          <w:lang w:val="en-US"/>
        </w:rPr>
        <w:t xml:space="preserve"> is not only influenced by</w:t>
      </w:r>
      <w:r w:rsidR="00BC6D44">
        <w:rPr>
          <w:color w:val="FF0000"/>
          <w:lang w:val="en-US"/>
        </w:rPr>
        <w:t xml:space="preserve"> </w:t>
      </w:r>
      <w:r w:rsidR="00BC6D44" w:rsidRPr="00BC6D44">
        <w:rPr>
          <w:color w:val="FF0000"/>
          <w:lang w:val="en-US"/>
        </w:rPr>
        <w:t>environmental conditions but also by the genetic background of each</w:t>
      </w:r>
      <w:r w:rsidR="00BC6D44">
        <w:rPr>
          <w:color w:val="FF0000"/>
          <w:lang w:val="en-US"/>
        </w:rPr>
        <w:t xml:space="preserve"> </w:t>
      </w:r>
      <w:r w:rsidR="00BC6D44" w:rsidRPr="00BC6D44">
        <w:rPr>
          <w:color w:val="FF0000"/>
          <w:lang w:val="en-US"/>
        </w:rPr>
        <w:t xml:space="preserve">individual. In fact, approximately 40% of patients with psoriasis or </w:t>
      </w:r>
      <w:proofErr w:type="spellStart"/>
      <w:r w:rsidR="00BC6D44" w:rsidRPr="00BC6D44">
        <w:rPr>
          <w:color w:val="FF0000"/>
          <w:lang w:val="en-US"/>
        </w:rPr>
        <w:t>PsA</w:t>
      </w:r>
      <w:proofErr w:type="spellEnd"/>
      <w:r w:rsidR="00BC6D44" w:rsidRPr="00BC6D44">
        <w:rPr>
          <w:color w:val="FF0000"/>
          <w:lang w:val="en-US"/>
        </w:rPr>
        <w:t xml:space="preserve"> have</w:t>
      </w:r>
      <w:r w:rsidR="00BC6D44">
        <w:rPr>
          <w:color w:val="FF0000"/>
          <w:lang w:val="en-US"/>
        </w:rPr>
        <w:t xml:space="preserve"> </w:t>
      </w:r>
      <w:r w:rsidR="00BC6D44" w:rsidRPr="00BC6D44">
        <w:rPr>
          <w:color w:val="FF0000"/>
          <w:lang w:val="en-US"/>
        </w:rPr>
        <w:t>a family history in first degree relatives (</w:t>
      </w:r>
      <w:proofErr w:type="spellStart"/>
      <w:r w:rsidR="00BC6D44" w:rsidRPr="00BC6D44">
        <w:rPr>
          <w:color w:val="FF0000"/>
          <w:lang w:val="en-US"/>
        </w:rPr>
        <w:t>Gladman</w:t>
      </w:r>
      <w:proofErr w:type="spellEnd"/>
      <w:r w:rsidR="00BC6D44" w:rsidRPr="00BC6D44">
        <w:rPr>
          <w:color w:val="FF0000"/>
          <w:lang w:val="en-US"/>
        </w:rPr>
        <w:t xml:space="preserve"> et al. 1986). Twins studies</w:t>
      </w:r>
      <w:r w:rsidR="00BC6D44">
        <w:rPr>
          <w:color w:val="FF0000"/>
          <w:lang w:val="en-US"/>
        </w:rPr>
        <w:t xml:space="preserve"> </w:t>
      </w:r>
      <w:r w:rsidR="00BC6D44" w:rsidRPr="00BC6D44">
        <w:rPr>
          <w:color w:val="FF0000"/>
          <w:lang w:val="en-US"/>
        </w:rPr>
        <w:t>in patients with psoriasis (only cutaneous lesions) have demonstrated that</w:t>
      </w:r>
    </w:p>
    <w:p w14:paraId="12996EFF" w14:textId="13B95705" w:rsidR="00BC6D44" w:rsidRPr="00BC6D44" w:rsidRDefault="00BC6D44" w:rsidP="00BC6D44">
      <w:pPr>
        <w:pStyle w:val="ListParagraph"/>
        <w:tabs>
          <w:tab w:val="left" w:pos="284"/>
        </w:tabs>
        <w:ind w:left="0"/>
        <w:jc w:val="both"/>
        <w:rPr>
          <w:color w:val="FF0000"/>
          <w:lang w:val="en-US"/>
        </w:rPr>
      </w:pPr>
      <w:r w:rsidRPr="00BC6D44">
        <w:rPr>
          <w:color w:val="FF0000"/>
          <w:lang w:val="en-US"/>
        </w:rPr>
        <w:t>concordance of disease is greater in monozygotic (33-55%) compared to</w:t>
      </w:r>
      <w:r>
        <w:rPr>
          <w:color w:val="FF0000"/>
          <w:lang w:val="en-US"/>
        </w:rPr>
        <w:t xml:space="preserve"> </w:t>
      </w:r>
      <w:r w:rsidRPr="00BC6D44">
        <w:rPr>
          <w:color w:val="FF0000"/>
          <w:lang w:val="en-US"/>
        </w:rPr>
        <w:t>dizygotic twins (13-21%), giving a heritability estimate between 50 to 80%</w:t>
      </w:r>
      <w:r>
        <w:rPr>
          <w:color w:val="FF0000"/>
          <w:lang w:val="en-US"/>
        </w:rPr>
        <w:t xml:space="preserve"> </w:t>
      </w:r>
      <w:r w:rsidRPr="00BC6D44">
        <w:rPr>
          <w:color w:val="FF0000"/>
          <w:lang w:val="en-US"/>
        </w:rPr>
        <w:t>in populations of European descendants (Farber et al. 1974; Duffy et al.</w:t>
      </w:r>
      <w:r>
        <w:rPr>
          <w:color w:val="FF0000"/>
          <w:lang w:val="en-US"/>
        </w:rPr>
        <w:t xml:space="preserve"> </w:t>
      </w:r>
      <w:r w:rsidRPr="00BC6D44">
        <w:rPr>
          <w:color w:val="FF0000"/>
          <w:lang w:val="en-US"/>
        </w:rPr>
        <w:t xml:space="preserve">1993; </w:t>
      </w:r>
      <w:proofErr w:type="spellStart"/>
      <w:r w:rsidRPr="00BC6D44">
        <w:rPr>
          <w:color w:val="FF0000"/>
          <w:lang w:val="en-US"/>
        </w:rPr>
        <w:t>Grjibovski</w:t>
      </w:r>
      <w:proofErr w:type="spellEnd"/>
      <w:r w:rsidRPr="00BC6D44">
        <w:rPr>
          <w:color w:val="FF0000"/>
          <w:lang w:val="en-US"/>
        </w:rPr>
        <w:t xml:space="preserve"> et al. 2007; Pedersen et al. 2008; </w:t>
      </w:r>
      <w:proofErr w:type="spellStart"/>
      <w:r w:rsidRPr="00BC6D44">
        <w:rPr>
          <w:color w:val="FF0000"/>
          <w:lang w:val="en-US"/>
        </w:rPr>
        <w:t>Lonnberg</w:t>
      </w:r>
      <w:proofErr w:type="spellEnd"/>
      <w:r w:rsidRPr="00BC6D44">
        <w:rPr>
          <w:color w:val="FF0000"/>
          <w:lang w:val="en-US"/>
        </w:rPr>
        <w:t xml:space="preserve"> et al. 2013).</w:t>
      </w:r>
      <w:r>
        <w:rPr>
          <w:color w:val="FF0000"/>
          <w:lang w:val="en-US"/>
        </w:rPr>
        <w:t xml:space="preserve"> </w:t>
      </w:r>
      <w:r w:rsidRPr="00BC6D44">
        <w:rPr>
          <w:color w:val="FF0000"/>
          <w:lang w:val="en-US"/>
        </w:rPr>
        <w:t>Moreover, psoriasis prevalence is also greater amongst first degree relatives</w:t>
      </w:r>
      <w:r>
        <w:rPr>
          <w:color w:val="FF0000"/>
          <w:lang w:val="en-US"/>
        </w:rPr>
        <w:t xml:space="preserve"> </w:t>
      </w:r>
      <w:r w:rsidRPr="00BC6D44">
        <w:rPr>
          <w:color w:val="FF0000"/>
          <w:lang w:val="en-US"/>
        </w:rPr>
        <w:t>compared to the general population, ranging between 4-19% (Myers et al.</w:t>
      </w:r>
      <w:r>
        <w:rPr>
          <w:color w:val="FF0000"/>
          <w:lang w:val="en-US"/>
        </w:rPr>
        <w:t xml:space="preserve"> </w:t>
      </w:r>
      <w:r w:rsidRPr="00BC6D44">
        <w:rPr>
          <w:color w:val="FF0000"/>
          <w:lang w:val="en-US"/>
        </w:rPr>
        <w:t>2005; Chandran et al. 2009).</w:t>
      </w:r>
    </w:p>
    <w:p w14:paraId="247B6685" w14:textId="7DE34ACB" w:rsidR="00E90754" w:rsidRPr="004D7970" w:rsidRDefault="00BC6D44" w:rsidP="00BC6D44">
      <w:pPr>
        <w:pStyle w:val="ListParagraph"/>
        <w:tabs>
          <w:tab w:val="left" w:pos="284"/>
        </w:tabs>
        <w:ind w:left="0"/>
        <w:jc w:val="both"/>
        <w:rPr>
          <w:color w:val="FF0000"/>
          <w:lang w:val="en-US"/>
        </w:rPr>
      </w:pPr>
      <w:r w:rsidRPr="00BC6D44">
        <w:rPr>
          <w:color w:val="FF0000"/>
          <w:lang w:val="en-US"/>
        </w:rPr>
        <w:lastRenderedPageBreak/>
        <w:t xml:space="preserve">Interestingly, the only twins study conducted to date in </w:t>
      </w:r>
      <w:proofErr w:type="spellStart"/>
      <w:r w:rsidRPr="00BC6D44">
        <w:rPr>
          <w:color w:val="FF0000"/>
          <w:lang w:val="en-US"/>
        </w:rPr>
        <w:t>PsA</w:t>
      </w:r>
      <w:proofErr w:type="spellEnd"/>
      <w:r w:rsidRPr="00BC6D44">
        <w:rPr>
          <w:color w:val="FF0000"/>
          <w:lang w:val="en-US"/>
        </w:rPr>
        <w:t xml:space="preserve"> did not</w:t>
      </w:r>
      <w:r>
        <w:rPr>
          <w:color w:val="FF0000"/>
          <w:lang w:val="en-US"/>
        </w:rPr>
        <w:t xml:space="preserve"> </w:t>
      </w:r>
      <w:r w:rsidRPr="00BC6D44">
        <w:rPr>
          <w:color w:val="FF0000"/>
          <w:lang w:val="en-US"/>
        </w:rPr>
        <w:t>find differences in concordance between monozygotic and dizygotic twins,</w:t>
      </w:r>
      <w:r>
        <w:rPr>
          <w:color w:val="FF0000"/>
          <w:lang w:val="en-US"/>
        </w:rPr>
        <w:t xml:space="preserve"> </w:t>
      </w:r>
      <w:r w:rsidRPr="00BC6D44">
        <w:rPr>
          <w:color w:val="FF0000"/>
          <w:lang w:val="en-US"/>
        </w:rPr>
        <w:t>which could be due to lack of power in the study (Pedersen et al. 2008).</w:t>
      </w:r>
      <w:r>
        <w:rPr>
          <w:color w:val="FF0000"/>
          <w:lang w:val="en-US"/>
        </w:rPr>
        <w:t xml:space="preserve"> </w:t>
      </w:r>
      <w:r w:rsidRPr="00BC6D44">
        <w:rPr>
          <w:color w:val="FF0000"/>
          <w:lang w:val="en-US"/>
        </w:rPr>
        <w:t xml:space="preserve">Nevertheless, heritability estimates in </w:t>
      </w:r>
      <w:proofErr w:type="spellStart"/>
      <w:r w:rsidRPr="00BC6D44">
        <w:rPr>
          <w:color w:val="FF0000"/>
          <w:lang w:val="en-US"/>
        </w:rPr>
        <w:t>PsA</w:t>
      </w:r>
      <w:proofErr w:type="spellEnd"/>
      <w:r w:rsidRPr="00BC6D44">
        <w:rPr>
          <w:color w:val="FF0000"/>
          <w:lang w:val="en-US"/>
        </w:rPr>
        <w:t xml:space="preserve"> are between 80 to 100% and</w:t>
      </w:r>
      <w:r>
        <w:rPr>
          <w:color w:val="FF0000"/>
          <w:lang w:val="en-US"/>
        </w:rPr>
        <w:t xml:space="preserve"> </w:t>
      </w:r>
      <w:r w:rsidRPr="00BC6D44">
        <w:rPr>
          <w:color w:val="FF0000"/>
          <w:lang w:val="en-US"/>
        </w:rPr>
        <w:t>the recurrence rate in first-degree relatives has been shown to be greater</w:t>
      </w:r>
      <w:r>
        <w:rPr>
          <w:color w:val="FF0000"/>
          <w:lang w:val="en-US"/>
        </w:rPr>
        <w:t xml:space="preserve"> </w:t>
      </w:r>
      <w:r w:rsidRPr="00BC6D44">
        <w:rPr>
          <w:color w:val="FF0000"/>
          <w:lang w:val="en-US"/>
        </w:rPr>
        <w:t xml:space="preserve">for </w:t>
      </w:r>
      <w:proofErr w:type="spellStart"/>
      <w:r w:rsidRPr="00BC6D44">
        <w:rPr>
          <w:color w:val="FF0000"/>
          <w:lang w:val="en-US"/>
        </w:rPr>
        <w:t>PsA</w:t>
      </w:r>
      <w:proofErr w:type="spellEnd"/>
      <w:r w:rsidRPr="00BC6D44">
        <w:rPr>
          <w:color w:val="FF0000"/>
          <w:lang w:val="en-US"/>
        </w:rPr>
        <w:t xml:space="preserve"> (40-47-fold) compared to psoriasis (8-fold) (Myers et al. 2005;</w:t>
      </w:r>
      <w:r>
        <w:rPr>
          <w:color w:val="FF0000"/>
          <w:lang w:val="en-US"/>
        </w:rPr>
        <w:t xml:space="preserve"> </w:t>
      </w:r>
      <w:r w:rsidRPr="00BC6D44">
        <w:rPr>
          <w:color w:val="FF0000"/>
          <w:lang w:val="en-US"/>
        </w:rPr>
        <w:t xml:space="preserve">Chandran et al. 2009; </w:t>
      </w:r>
      <w:proofErr w:type="spellStart"/>
      <w:r w:rsidRPr="00BC6D44">
        <w:rPr>
          <w:color w:val="FF0000"/>
          <w:lang w:val="en-US"/>
        </w:rPr>
        <w:t>Karason</w:t>
      </w:r>
      <w:proofErr w:type="spellEnd"/>
      <w:r w:rsidRPr="00BC6D44">
        <w:rPr>
          <w:color w:val="FF0000"/>
          <w:lang w:val="en-US"/>
        </w:rPr>
        <w:t xml:space="preserve"> et al. 2009). These observations may</w:t>
      </w:r>
      <w:r>
        <w:rPr>
          <w:color w:val="FF0000"/>
          <w:lang w:val="en-US"/>
        </w:rPr>
        <w:t xml:space="preserve"> </w:t>
      </w:r>
      <w:r w:rsidRPr="00BC6D44">
        <w:rPr>
          <w:color w:val="FF0000"/>
          <w:lang w:val="en-US"/>
        </w:rPr>
        <w:t>highlight differences in the heritability between the two phenotypes and a</w:t>
      </w:r>
      <w:r>
        <w:rPr>
          <w:color w:val="FF0000"/>
          <w:lang w:val="en-US"/>
        </w:rPr>
        <w:t xml:space="preserve"> </w:t>
      </w:r>
      <w:r w:rsidRPr="00BC6D44">
        <w:rPr>
          <w:color w:val="FF0000"/>
          <w:lang w:val="en-US"/>
        </w:rPr>
        <w:t xml:space="preserve">stronger genetic contribution in </w:t>
      </w:r>
      <w:proofErr w:type="spellStart"/>
      <w:r w:rsidRPr="00BC6D44">
        <w:rPr>
          <w:color w:val="FF0000"/>
          <w:lang w:val="en-US"/>
        </w:rPr>
        <w:t>PsA</w:t>
      </w:r>
      <w:proofErr w:type="spellEnd"/>
      <w:r w:rsidRPr="00BC6D44">
        <w:rPr>
          <w:color w:val="FF0000"/>
          <w:lang w:val="en-US"/>
        </w:rPr>
        <w:t xml:space="preserve"> compared to psoriasis.</w:t>
      </w:r>
      <w:r w:rsidR="00FE79A5" w:rsidRPr="004D7970">
        <w:rPr>
          <w:color w:val="FF0000"/>
          <w:lang w:val="en-US"/>
        </w:rPr>
        <w:t>”</w:t>
      </w:r>
    </w:p>
    <w:p w14:paraId="4384D211" w14:textId="597B9F28" w:rsidR="005D2D1C" w:rsidRPr="004D7970" w:rsidRDefault="005D2D1C" w:rsidP="004D7970">
      <w:pPr>
        <w:pStyle w:val="ListParagraph"/>
        <w:tabs>
          <w:tab w:val="left" w:pos="284"/>
        </w:tabs>
        <w:ind w:left="0"/>
        <w:jc w:val="both"/>
        <w:rPr>
          <w:color w:val="0070C0"/>
          <w:lang w:val="en-US"/>
        </w:rPr>
      </w:pPr>
    </w:p>
    <w:p w14:paraId="76959838" w14:textId="77777777" w:rsidR="005D2D1C" w:rsidRPr="004D7970" w:rsidRDefault="005D2D1C" w:rsidP="00067AF7">
      <w:pPr>
        <w:pStyle w:val="ListParagraph"/>
        <w:tabs>
          <w:tab w:val="left" w:pos="284"/>
        </w:tabs>
        <w:ind w:left="0"/>
        <w:jc w:val="both"/>
        <w:rPr>
          <w:color w:val="000000" w:themeColor="text1"/>
        </w:rPr>
      </w:pPr>
    </w:p>
    <w:p w14:paraId="156CAC96" w14:textId="58688488" w:rsidR="00D709D1" w:rsidRDefault="00D709D1" w:rsidP="006E2C58">
      <w:pPr>
        <w:pStyle w:val="ListParagraph"/>
        <w:numPr>
          <w:ilvl w:val="0"/>
          <w:numId w:val="1"/>
        </w:numPr>
        <w:tabs>
          <w:tab w:val="left" w:pos="284"/>
        </w:tabs>
        <w:ind w:left="0" w:firstLine="0"/>
        <w:jc w:val="both"/>
        <w:rPr>
          <w:b/>
          <w:sz w:val="28"/>
          <w:szCs w:val="28"/>
        </w:rPr>
      </w:pPr>
      <w:r w:rsidRPr="00D709D1">
        <w:rPr>
          <w:b/>
          <w:sz w:val="28"/>
          <w:szCs w:val="28"/>
        </w:rPr>
        <w:t xml:space="preserve">In the introduction, it would be useful to include a short discussion on whether </w:t>
      </w:r>
      <w:proofErr w:type="spellStart"/>
      <w:r w:rsidRPr="00D709D1">
        <w:rPr>
          <w:b/>
          <w:sz w:val="28"/>
          <w:szCs w:val="28"/>
        </w:rPr>
        <w:t>PsA</w:t>
      </w:r>
      <w:proofErr w:type="spellEnd"/>
      <w:r w:rsidRPr="00D709D1">
        <w:rPr>
          <w:b/>
          <w:sz w:val="28"/>
          <w:szCs w:val="28"/>
        </w:rPr>
        <w:t xml:space="preserve"> may be a complication of psoriasis or a distinct disease entity and whether either or both are single diseases.</w:t>
      </w:r>
    </w:p>
    <w:p w14:paraId="0525A28E" w14:textId="77777777" w:rsidR="006E2C58" w:rsidRDefault="006E2C58" w:rsidP="006E2C58">
      <w:pPr>
        <w:tabs>
          <w:tab w:val="left" w:pos="284"/>
        </w:tabs>
        <w:jc w:val="both"/>
        <w:rPr>
          <w:b/>
          <w:sz w:val="28"/>
          <w:szCs w:val="28"/>
        </w:rPr>
      </w:pPr>
    </w:p>
    <w:p w14:paraId="512FE80B" w14:textId="1ACFECCC" w:rsidR="00A92B4B" w:rsidRDefault="00A92B4B" w:rsidP="006E2C58">
      <w:pPr>
        <w:tabs>
          <w:tab w:val="left" w:pos="284"/>
        </w:tabs>
        <w:jc w:val="both"/>
        <w:rPr>
          <w:color w:val="000000" w:themeColor="text1"/>
        </w:rPr>
      </w:pPr>
      <w:r>
        <w:rPr>
          <w:color w:val="000000" w:themeColor="text1"/>
        </w:rPr>
        <w:t>In Chapter 1 section 1.3 I have added a subsection titled “</w:t>
      </w:r>
      <w:r w:rsidRPr="00A92B4B">
        <w:rPr>
          <w:rFonts w:ascii="Courier New" w:hAnsi="Courier New" w:cs="Courier New"/>
          <w:color w:val="000000" w:themeColor="text1"/>
        </w:rPr>
        <w:t>﻿</w:t>
      </w:r>
      <w:r w:rsidRPr="00A92B4B">
        <w:rPr>
          <w:color w:val="000000" w:themeColor="text1"/>
        </w:rPr>
        <w:t xml:space="preserve">Psoriasis and </w:t>
      </w:r>
      <w:proofErr w:type="spellStart"/>
      <w:r w:rsidRPr="00A92B4B">
        <w:rPr>
          <w:color w:val="000000" w:themeColor="text1"/>
        </w:rPr>
        <w:t>PsA</w:t>
      </w:r>
      <w:proofErr w:type="spellEnd"/>
      <w:r w:rsidRPr="00A92B4B">
        <w:rPr>
          <w:color w:val="000000" w:themeColor="text1"/>
        </w:rPr>
        <w:t>: the same or distinct disease entities</w:t>
      </w:r>
      <w:r>
        <w:rPr>
          <w:color w:val="000000" w:themeColor="text1"/>
        </w:rPr>
        <w:t xml:space="preserve">”. I have placed this subsection here because it involves epidemiological, </w:t>
      </w:r>
      <w:r w:rsidR="0071196B">
        <w:rPr>
          <w:color w:val="000000" w:themeColor="text1"/>
        </w:rPr>
        <w:t>pathophysiological and also genetics data, which has been partially explained in previous subsections. Therefore, placing the subsection before finishing talking about all these aspects would be confusing/disruptive for the flow of the Introduction. Nevertheless, if you think it should be relocated somewhere else I am happy to do so.</w:t>
      </w:r>
    </w:p>
    <w:p w14:paraId="6FDBDC7D" w14:textId="77777777" w:rsidR="00564208" w:rsidRDefault="00564208" w:rsidP="00564208">
      <w:pPr>
        <w:tabs>
          <w:tab w:val="left" w:pos="284"/>
        </w:tabs>
        <w:jc w:val="both"/>
        <w:rPr>
          <w:color w:val="000000" w:themeColor="text1"/>
          <w:lang w:val="en-US"/>
        </w:rPr>
      </w:pPr>
    </w:p>
    <w:p w14:paraId="5AE58AC0" w14:textId="77777777" w:rsidR="00564208" w:rsidRPr="00F9412F" w:rsidRDefault="00564208" w:rsidP="00564208">
      <w:pPr>
        <w:tabs>
          <w:tab w:val="left" w:pos="284"/>
        </w:tabs>
        <w:jc w:val="both"/>
        <w:rPr>
          <w:b/>
          <w:color w:val="FF0000"/>
          <w:lang w:val="en-US"/>
        </w:rPr>
      </w:pPr>
      <w:r w:rsidRPr="00F9412F">
        <w:rPr>
          <w:b/>
          <w:color w:val="FF0000"/>
          <w:lang w:val="en-US"/>
        </w:rPr>
        <w:t xml:space="preserve">1.3.5 Psoriasis and </w:t>
      </w:r>
      <w:proofErr w:type="spellStart"/>
      <w:r w:rsidRPr="00F9412F">
        <w:rPr>
          <w:b/>
          <w:color w:val="FF0000"/>
          <w:lang w:val="en-US"/>
        </w:rPr>
        <w:t>PsA</w:t>
      </w:r>
      <w:proofErr w:type="spellEnd"/>
      <w:r w:rsidRPr="00F9412F">
        <w:rPr>
          <w:b/>
          <w:color w:val="FF0000"/>
          <w:lang w:val="en-US"/>
        </w:rPr>
        <w:t xml:space="preserve">: the same or distinct disease entities </w:t>
      </w:r>
    </w:p>
    <w:p w14:paraId="755308DB" w14:textId="77777777" w:rsidR="00564208" w:rsidRPr="00F9412F" w:rsidRDefault="00564208" w:rsidP="00564208">
      <w:pPr>
        <w:tabs>
          <w:tab w:val="left" w:pos="284"/>
        </w:tabs>
        <w:jc w:val="both"/>
        <w:rPr>
          <w:b/>
          <w:color w:val="FF0000"/>
          <w:lang w:val="en-US"/>
        </w:rPr>
      </w:pPr>
    </w:p>
    <w:p w14:paraId="1A0206D8" w14:textId="3609BD85" w:rsidR="00564208" w:rsidRPr="00564208" w:rsidRDefault="00564208" w:rsidP="00564208">
      <w:pPr>
        <w:tabs>
          <w:tab w:val="left" w:pos="284"/>
        </w:tabs>
        <w:jc w:val="both"/>
        <w:rPr>
          <w:color w:val="FF0000"/>
          <w:lang w:val="en-US"/>
        </w:rPr>
      </w:pPr>
      <w:r w:rsidRPr="00564208">
        <w:rPr>
          <w:color w:val="FF0000"/>
          <w:lang w:val="en-US"/>
        </w:rPr>
        <w:t xml:space="preserve">It still remains unclear whether psoriasis and </w:t>
      </w:r>
      <w:proofErr w:type="spellStart"/>
      <w:r w:rsidRPr="00564208">
        <w:rPr>
          <w:color w:val="FF0000"/>
          <w:lang w:val="en-US"/>
        </w:rPr>
        <w:t>PsA</w:t>
      </w:r>
      <w:proofErr w:type="spellEnd"/>
      <w:r w:rsidRPr="00564208">
        <w:rPr>
          <w:color w:val="FF0000"/>
          <w:lang w:val="en-US"/>
        </w:rPr>
        <w:t xml:space="preserve"> are distinct entities or manifestations of a single disease since commonalities but also differences are found at the pathophysiological and genetic level, as previously reviewed. The fact the </w:t>
      </w:r>
      <w:proofErr w:type="spellStart"/>
      <w:r w:rsidRPr="00564208">
        <w:rPr>
          <w:color w:val="FF0000"/>
          <w:lang w:val="en-US"/>
        </w:rPr>
        <w:t>PsA</w:t>
      </w:r>
      <w:proofErr w:type="spellEnd"/>
      <w:r w:rsidRPr="00564208">
        <w:rPr>
          <w:color w:val="FF0000"/>
          <w:lang w:val="en-US"/>
        </w:rPr>
        <w:t xml:space="preserve"> prevalence amongst psoriasis patients is greater than the expected by chance and that skin lesions precede joint affection in 90% of the cases have supported the fact that </w:t>
      </w:r>
      <w:proofErr w:type="spellStart"/>
      <w:r w:rsidRPr="00564208">
        <w:rPr>
          <w:color w:val="FF0000"/>
          <w:lang w:val="en-US"/>
        </w:rPr>
        <w:t>PsA</w:t>
      </w:r>
      <w:proofErr w:type="spellEnd"/>
      <w:r w:rsidRPr="00564208">
        <w:rPr>
          <w:color w:val="FF0000"/>
          <w:lang w:val="en-US"/>
        </w:rPr>
        <w:t xml:space="preserve"> may be an extracutaneous manifestation of psoriasis. One of the links between skin and joint inflammation has been speculated to be biomechanical. The skin and the enthesis share associated tissue-specific factors since both structures integrate two different tissues, epidermis and dermis or tendo</w:t>
      </w:r>
      <w:r w:rsidR="00F9412F">
        <w:rPr>
          <w:color w:val="FF0000"/>
          <w:lang w:val="en-US"/>
        </w:rPr>
        <w:t>n</w:t>
      </w:r>
      <w:r w:rsidRPr="00564208">
        <w:rPr>
          <w:color w:val="FF0000"/>
          <w:lang w:val="en-US"/>
        </w:rPr>
        <w:t xml:space="preserve"> and ligaments, respectively, and they undergo high stress concentration at the tissue interface usually followed by microinflammation (</w:t>
      </w:r>
      <w:proofErr w:type="spellStart"/>
      <w:r w:rsidRPr="00564208">
        <w:rPr>
          <w:color w:val="FF0000"/>
          <w:lang w:val="en-US"/>
        </w:rPr>
        <w:t>McGonagle</w:t>
      </w:r>
      <w:proofErr w:type="spellEnd"/>
      <w:r w:rsidRPr="00564208">
        <w:rPr>
          <w:color w:val="FF0000"/>
          <w:lang w:val="en-US"/>
        </w:rPr>
        <w:t xml:space="preserve"> </w:t>
      </w:r>
      <w:r w:rsidRPr="00F9412F">
        <w:rPr>
          <w:i/>
          <w:color w:val="FF0000"/>
          <w:lang w:val="en-US"/>
        </w:rPr>
        <w:t>et al.</w:t>
      </w:r>
      <w:r w:rsidRPr="00564208">
        <w:rPr>
          <w:color w:val="FF0000"/>
          <w:lang w:val="en-US"/>
        </w:rPr>
        <w:t xml:space="preserve"> 2007). Studying correlation between skin and joint symptoms has yielded opposing results. Some studies have shown lack of correlation between skin and joint lesions thus supporting independence of the two diseases, whereas others have demonstrated correlation within a </w:t>
      </w:r>
      <w:r w:rsidR="00523500" w:rsidRPr="00564208">
        <w:rPr>
          <w:color w:val="FF0000"/>
          <w:lang w:val="en-US"/>
        </w:rPr>
        <w:t>subpopulation</w:t>
      </w:r>
      <w:r w:rsidRPr="00564208">
        <w:rPr>
          <w:color w:val="FF0000"/>
          <w:lang w:val="en-US"/>
        </w:rPr>
        <w:t xml:space="preserve"> with concomitant onset of skin and joint inflammation suggesting a shared pathophysiology under particular clinical setting (Jones </w:t>
      </w:r>
      <w:r w:rsidRPr="00F9412F">
        <w:rPr>
          <w:i/>
          <w:color w:val="FF0000"/>
          <w:lang w:val="en-US"/>
        </w:rPr>
        <w:t>et al.</w:t>
      </w:r>
      <w:r w:rsidRPr="00564208">
        <w:rPr>
          <w:color w:val="FF0000"/>
          <w:lang w:val="en-US"/>
        </w:rPr>
        <w:t xml:space="preserve"> 1994; </w:t>
      </w:r>
      <w:proofErr w:type="spellStart"/>
      <w:r w:rsidRPr="00564208">
        <w:rPr>
          <w:color w:val="FF0000"/>
          <w:lang w:val="en-US"/>
        </w:rPr>
        <w:t>Elkayam</w:t>
      </w:r>
      <w:proofErr w:type="spellEnd"/>
      <w:r w:rsidRPr="00564208">
        <w:rPr>
          <w:color w:val="FF0000"/>
          <w:lang w:val="en-US"/>
        </w:rPr>
        <w:t xml:space="preserve"> </w:t>
      </w:r>
      <w:r w:rsidRPr="00F9412F">
        <w:rPr>
          <w:i/>
          <w:color w:val="FF0000"/>
          <w:lang w:val="en-US"/>
        </w:rPr>
        <w:t>et al</w:t>
      </w:r>
      <w:r w:rsidRPr="00564208">
        <w:rPr>
          <w:color w:val="FF0000"/>
          <w:lang w:val="en-US"/>
        </w:rPr>
        <w:t>. 2000).</w:t>
      </w:r>
    </w:p>
    <w:p w14:paraId="55212EB5" w14:textId="77777777" w:rsidR="00564208" w:rsidRPr="00564208" w:rsidRDefault="00564208" w:rsidP="00564208">
      <w:pPr>
        <w:tabs>
          <w:tab w:val="left" w:pos="284"/>
        </w:tabs>
        <w:jc w:val="both"/>
        <w:rPr>
          <w:color w:val="FF0000"/>
          <w:lang w:val="en-US"/>
        </w:rPr>
      </w:pPr>
    </w:p>
    <w:p w14:paraId="199DD8BE" w14:textId="2D679DE9" w:rsidR="00564208" w:rsidRPr="00564208" w:rsidRDefault="00564208" w:rsidP="00564208">
      <w:pPr>
        <w:tabs>
          <w:tab w:val="left" w:pos="284"/>
        </w:tabs>
        <w:jc w:val="both"/>
        <w:rPr>
          <w:rFonts w:eastAsiaTheme="minorHAnsi"/>
          <w:color w:val="FF0000"/>
          <w:lang w:val="en-US"/>
        </w:rPr>
      </w:pPr>
      <w:r w:rsidRPr="00564208">
        <w:rPr>
          <w:color w:val="FF0000"/>
          <w:lang w:val="en-US"/>
        </w:rPr>
        <w:t xml:space="preserve">Regarding the genetic predisposition, the greater heritability of </w:t>
      </w:r>
      <w:proofErr w:type="spellStart"/>
      <w:r w:rsidRPr="00564208">
        <w:rPr>
          <w:color w:val="FF0000"/>
          <w:lang w:val="en-US"/>
        </w:rPr>
        <w:t>PsA</w:t>
      </w:r>
      <w:proofErr w:type="spellEnd"/>
      <w:r w:rsidRPr="00564208">
        <w:rPr>
          <w:color w:val="FF0000"/>
          <w:lang w:val="en-US"/>
        </w:rPr>
        <w:t xml:space="preserve"> compared to psoriasis have supported some independence between the two entities. Likewise, despite cutaneous psoriasis and </w:t>
      </w:r>
      <w:proofErr w:type="spellStart"/>
      <w:r w:rsidRPr="00564208">
        <w:rPr>
          <w:color w:val="FF0000"/>
          <w:lang w:val="en-US"/>
        </w:rPr>
        <w:t>PsA</w:t>
      </w:r>
      <w:proofErr w:type="spellEnd"/>
      <w:r w:rsidRPr="00564208">
        <w:rPr>
          <w:color w:val="FF0000"/>
          <w:lang w:val="en-US"/>
        </w:rPr>
        <w:t xml:space="preserve"> sharing a large number of GWAS risk loci, differences in the strength of association have also been identified for some of them, importantly the </w:t>
      </w:r>
      <w:proofErr w:type="spellStart"/>
      <w:r w:rsidRPr="00564208">
        <w:rPr>
          <w:color w:val="FF0000"/>
          <w:lang w:val="en-US"/>
        </w:rPr>
        <w:t>PsA</w:t>
      </w:r>
      <w:proofErr w:type="spellEnd"/>
      <w:r w:rsidRPr="00564208">
        <w:rPr>
          <w:color w:val="FF0000"/>
          <w:lang w:val="en-US"/>
        </w:rPr>
        <w:t xml:space="preserve"> association with the </w:t>
      </w:r>
      <w:r w:rsidRPr="00523500">
        <w:rPr>
          <w:i/>
          <w:color w:val="FF0000"/>
          <w:lang w:val="en-US"/>
        </w:rPr>
        <w:t>HLA-B*27</w:t>
      </w:r>
      <w:r w:rsidRPr="00564208">
        <w:rPr>
          <w:color w:val="FF0000"/>
          <w:lang w:val="en-US"/>
        </w:rPr>
        <w:t xml:space="preserve"> allele and the stronger association of </w:t>
      </w:r>
      <w:r w:rsidRPr="00523500">
        <w:rPr>
          <w:i/>
          <w:color w:val="FF0000"/>
          <w:lang w:val="en-US"/>
        </w:rPr>
        <w:t>HLA-</w:t>
      </w:r>
      <w:proofErr w:type="spellStart"/>
      <w:r w:rsidRPr="00523500">
        <w:rPr>
          <w:i/>
          <w:color w:val="FF0000"/>
          <w:lang w:val="en-US"/>
        </w:rPr>
        <w:t>Cw</w:t>
      </w:r>
      <w:proofErr w:type="spellEnd"/>
      <w:r w:rsidRPr="00523500">
        <w:rPr>
          <w:i/>
          <w:color w:val="FF0000"/>
          <w:lang w:val="en-US"/>
        </w:rPr>
        <w:t>*0602</w:t>
      </w:r>
      <w:r w:rsidRPr="00564208">
        <w:rPr>
          <w:color w:val="FF0000"/>
          <w:lang w:val="en-US"/>
        </w:rPr>
        <w:t xml:space="preserve"> with cutaneous psoriasis (as previously detailed in 1.3.2). This heterogeneity could indicate that some of the associations are involved in disease </w:t>
      </w:r>
      <w:r w:rsidRPr="00564208">
        <w:rPr>
          <w:rFonts w:eastAsiaTheme="minorHAnsi"/>
          <w:color w:val="FF0000"/>
          <w:lang w:val="en-US"/>
        </w:rPr>
        <w:t>susceptibility whereas other may have a role in modifying disease expression, which together with the influence of environmental factors, shape incidence and disease severity (</w:t>
      </w:r>
      <w:proofErr w:type="spellStart"/>
      <w:r w:rsidRPr="00564208">
        <w:rPr>
          <w:rFonts w:eastAsiaTheme="minorHAnsi"/>
          <w:color w:val="FF0000"/>
          <w:lang w:val="en-US"/>
        </w:rPr>
        <w:t>Ciocon</w:t>
      </w:r>
      <w:proofErr w:type="spellEnd"/>
      <w:r w:rsidRPr="00564208">
        <w:rPr>
          <w:rFonts w:eastAsiaTheme="minorHAnsi"/>
          <w:color w:val="FF0000"/>
          <w:lang w:val="en-US"/>
        </w:rPr>
        <w:t xml:space="preserve"> and Kimball 2007).</w:t>
      </w:r>
    </w:p>
    <w:p w14:paraId="55049A5B" w14:textId="77777777" w:rsidR="00564208" w:rsidRPr="00564208" w:rsidRDefault="00564208" w:rsidP="00564208">
      <w:pPr>
        <w:tabs>
          <w:tab w:val="left" w:pos="284"/>
        </w:tabs>
        <w:jc w:val="both"/>
        <w:rPr>
          <w:rFonts w:eastAsiaTheme="minorHAnsi"/>
          <w:color w:val="FF0000"/>
          <w:lang w:val="en-US"/>
        </w:rPr>
      </w:pPr>
    </w:p>
    <w:p w14:paraId="35BBFF43" w14:textId="008BD174" w:rsidR="00564208" w:rsidRDefault="00564208" w:rsidP="00564208">
      <w:pPr>
        <w:autoSpaceDE w:val="0"/>
        <w:autoSpaceDN w:val="0"/>
        <w:adjustRightInd w:val="0"/>
        <w:jc w:val="both"/>
        <w:rPr>
          <w:rFonts w:eastAsiaTheme="minorHAnsi"/>
          <w:color w:val="FF0000"/>
          <w:lang w:val="en-US"/>
        </w:rPr>
      </w:pPr>
      <w:r w:rsidRPr="00564208">
        <w:rPr>
          <w:rFonts w:eastAsiaTheme="minorHAnsi"/>
          <w:color w:val="FF0000"/>
          <w:lang w:val="en-US"/>
        </w:rPr>
        <w:lastRenderedPageBreak/>
        <w:t>In terms of pathophysiology, the role of TNF-</w:t>
      </w:r>
      <w:r w:rsidR="00523500">
        <w:rPr>
          <w:rFonts w:eastAsiaTheme="minorHAnsi"/>
          <w:color w:val="FF0000"/>
          <w:lang w:val="en-US"/>
        </w:rPr>
        <w:sym w:font="Symbol" w:char="F061"/>
      </w:r>
      <w:r w:rsidRPr="00564208">
        <w:rPr>
          <w:rFonts w:eastAsiaTheme="minorHAnsi"/>
          <w:color w:val="FF0000"/>
          <w:lang w:val="en-US"/>
        </w:rPr>
        <w:t xml:space="preserve"> and the IL-23/IL-17 axis has been demonstrated to be important for the establishment and perpetuation of skin and joint inflammation. Transcriptomic studies in skin and synovial membrane from the same patients have demonstrated a stronger IL-17 signature in the skin, consistent with the greater efficacy of anti-IL17 biologic therapies in the treatment of skin lesions compared to joints symptoms (Belasco </w:t>
      </w:r>
      <w:r w:rsidRPr="00F9412F">
        <w:rPr>
          <w:rFonts w:eastAsiaTheme="minorHAnsi"/>
          <w:i/>
          <w:color w:val="FF0000"/>
          <w:lang w:val="en-US"/>
        </w:rPr>
        <w:t>et al.</w:t>
      </w:r>
      <w:r w:rsidRPr="00564208">
        <w:rPr>
          <w:rFonts w:eastAsiaTheme="minorHAnsi"/>
          <w:color w:val="FF0000"/>
          <w:lang w:val="en-US"/>
        </w:rPr>
        <w:t xml:space="preserve"> 2015; </w:t>
      </w:r>
      <w:proofErr w:type="spellStart"/>
      <w:r w:rsidRPr="00564208">
        <w:rPr>
          <w:rFonts w:eastAsiaTheme="minorHAnsi"/>
          <w:color w:val="FF0000"/>
          <w:lang w:val="en-US"/>
        </w:rPr>
        <w:t>Furue</w:t>
      </w:r>
      <w:proofErr w:type="spellEnd"/>
      <w:r w:rsidRPr="00564208">
        <w:rPr>
          <w:rFonts w:eastAsiaTheme="minorHAnsi"/>
          <w:color w:val="FF0000"/>
          <w:lang w:val="en-US"/>
        </w:rPr>
        <w:t xml:space="preserve"> </w:t>
      </w:r>
      <w:r w:rsidRPr="00F9412F">
        <w:rPr>
          <w:rFonts w:eastAsiaTheme="minorHAnsi"/>
          <w:i/>
          <w:color w:val="FF0000"/>
          <w:lang w:val="en-US"/>
        </w:rPr>
        <w:t>et al.</w:t>
      </w:r>
      <w:r w:rsidRPr="00564208">
        <w:rPr>
          <w:rFonts w:eastAsiaTheme="minorHAnsi"/>
          <w:color w:val="FF0000"/>
          <w:lang w:val="en-US"/>
        </w:rPr>
        <w:t xml:space="preserve"> 2018). The role of T cells, particularly mCD8</w:t>
      </w:r>
      <w:r w:rsidRPr="00564208">
        <w:rPr>
          <w:rFonts w:eastAsiaTheme="minorHAnsi"/>
          <w:color w:val="FF0000"/>
          <w:vertAlign w:val="superscript"/>
          <w:lang w:val="en-US"/>
        </w:rPr>
        <w:t>+</w:t>
      </w:r>
      <w:r w:rsidRPr="00564208">
        <w:rPr>
          <w:rFonts w:eastAsiaTheme="minorHAnsi"/>
          <w:color w:val="FF0000"/>
          <w:lang w:val="en-US"/>
        </w:rPr>
        <w:t xml:space="preserve"> expansion in epidermis and synovial fluid, has been well documented in psoriasis and </w:t>
      </w:r>
      <w:proofErr w:type="spellStart"/>
      <w:r w:rsidRPr="00564208">
        <w:rPr>
          <w:rFonts w:eastAsiaTheme="minorHAnsi"/>
          <w:color w:val="FF0000"/>
          <w:lang w:val="en-US"/>
        </w:rPr>
        <w:t>PsA</w:t>
      </w:r>
      <w:proofErr w:type="spellEnd"/>
      <w:r w:rsidRPr="00564208">
        <w:rPr>
          <w:rFonts w:eastAsiaTheme="minorHAnsi"/>
          <w:color w:val="FF0000"/>
          <w:lang w:val="en-US"/>
        </w:rPr>
        <w:t>, respectively (</w:t>
      </w:r>
      <w:proofErr w:type="spellStart"/>
      <w:r w:rsidRPr="00564208">
        <w:rPr>
          <w:rFonts w:eastAsiaTheme="minorHAnsi"/>
          <w:color w:val="FF0000"/>
          <w:lang w:val="en-US"/>
        </w:rPr>
        <w:t>Wrone</w:t>
      </w:r>
      <w:proofErr w:type="spellEnd"/>
      <w:r w:rsidRPr="00564208">
        <w:rPr>
          <w:rFonts w:eastAsiaTheme="minorHAnsi"/>
          <w:color w:val="FF0000"/>
          <w:lang w:val="en-US"/>
        </w:rPr>
        <w:t xml:space="preserve">-Smith and </w:t>
      </w:r>
      <w:proofErr w:type="spellStart"/>
      <w:r w:rsidRPr="00564208">
        <w:rPr>
          <w:rFonts w:eastAsiaTheme="minorHAnsi"/>
          <w:color w:val="FF0000"/>
          <w:lang w:val="en-US"/>
        </w:rPr>
        <w:t>Nickoloff</w:t>
      </w:r>
      <w:proofErr w:type="spellEnd"/>
      <w:r w:rsidRPr="00564208">
        <w:rPr>
          <w:rFonts w:eastAsiaTheme="minorHAnsi"/>
          <w:color w:val="FF0000"/>
          <w:lang w:val="en-US"/>
        </w:rPr>
        <w:t xml:space="preserve"> 1996; Costello </w:t>
      </w:r>
      <w:r w:rsidRPr="00F9412F">
        <w:rPr>
          <w:rFonts w:eastAsiaTheme="minorHAnsi"/>
          <w:i/>
          <w:color w:val="FF0000"/>
          <w:lang w:val="en-US"/>
        </w:rPr>
        <w:t>et al.</w:t>
      </w:r>
      <w:r w:rsidRPr="00564208">
        <w:rPr>
          <w:rFonts w:eastAsiaTheme="minorHAnsi"/>
          <w:color w:val="FF0000"/>
          <w:lang w:val="en-US"/>
        </w:rPr>
        <w:t xml:space="preserve"> 1999). Nevertheless, it remains unclear whether differences in T cells biological subsets and T cell migration exist between skin and joints. Two studies revealed biologically distinct T cell populations in the two compartments based on the higher levels of expression of the cutaneous lymphocyte</w:t>
      </w:r>
      <w:r w:rsidR="00523500">
        <w:rPr>
          <w:rFonts w:eastAsiaTheme="minorHAnsi"/>
          <w:color w:val="FF0000"/>
          <w:lang w:val="en-US"/>
        </w:rPr>
        <w:t>-</w:t>
      </w:r>
      <w:r w:rsidRPr="00564208">
        <w:rPr>
          <w:rFonts w:eastAsiaTheme="minorHAnsi"/>
          <w:color w:val="FF0000"/>
          <w:lang w:val="en-US"/>
        </w:rPr>
        <w:t>associated antigen (CLA) in skin T cells compared to the joints (</w:t>
      </w:r>
      <w:proofErr w:type="spellStart"/>
      <w:r w:rsidRPr="00564208">
        <w:rPr>
          <w:rFonts w:eastAsiaTheme="minorHAnsi"/>
          <w:color w:val="FF0000"/>
          <w:lang w:val="en-US"/>
        </w:rPr>
        <w:t>Pitzalis</w:t>
      </w:r>
      <w:proofErr w:type="spellEnd"/>
      <w:r w:rsidRPr="00564208">
        <w:rPr>
          <w:rFonts w:eastAsiaTheme="minorHAnsi"/>
          <w:color w:val="FF0000"/>
          <w:lang w:val="en-US"/>
        </w:rPr>
        <w:t xml:space="preserve"> </w:t>
      </w:r>
      <w:r w:rsidRPr="00F9412F">
        <w:rPr>
          <w:rFonts w:eastAsiaTheme="minorHAnsi"/>
          <w:i/>
          <w:color w:val="FF0000"/>
          <w:lang w:val="en-US"/>
        </w:rPr>
        <w:t>et al</w:t>
      </w:r>
      <w:r w:rsidRPr="00564208">
        <w:rPr>
          <w:rFonts w:eastAsiaTheme="minorHAnsi"/>
          <w:color w:val="FF0000"/>
          <w:lang w:val="en-US"/>
        </w:rPr>
        <w:t>. 1996; Jones et al. 1997). Such finding could be the result of a homogenous activated T cell population undergoing distinct differentiation to travel to specific tissue sites. Moreover, T cell clonality studies have revealed polyclonal and oligoclonal T cell populations in skin and joints, highlighting common antigens driving T cell activation across different patients (</w:t>
      </w:r>
      <w:proofErr w:type="spellStart"/>
      <w:r w:rsidRPr="00564208">
        <w:rPr>
          <w:rFonts w:eastAsiaTheme="minorHAnsi"/>
          <w:color w:val="FF0000"/>
          <w:lang w:val="en-US"/>
        </w:rPr>
        <w:t>Tassiulas</w:t>
      </w:r>
      <w:proofErr w:type="spellEnd"/>
      <w:r w:rsidRPr="00564208">
        <w:rPr>
          <w:rFonts w:eastAsiaTheme="minorHAnsi"/>
          <w:color w:val="FF0000"/>
          <w:lang w:val="en-US"/>
        </w:rPr>
        <w:t xml:space="preserve"> </w:t>
      </w:r>
      <w:r w:rsidRPr="00564208">
        <w:rPr>
          <w:rFonts w:eastAsiaTheme="minorHAnsi"/>
          <w:i/>
          <w:color w:val="FF0000"/>
          <w:lang w:val="en-US"/>
        </w:rPr>
        <w:t>et al</w:t>
      </w:r>
      <w:r w:rsidRPr="00564208">
        <w:rPr>
          <w:rFonts w:eastAsiaTheme="minorHAnsi"/>
          <w:color w:val="FF0000"/>
          <w:lang w:val="en-US"/>
        </w:rPr>
        <w:t xml:space="preserve">. 1999; </w:t>
      </w:r>
      <w:proofErr w:type="spellStart"/>
      <w:r w:rsidRPr="00564208">
        <w:rPr>
          <w:rFonts w:eastAsiaTheme="minorHAnsi"/>
          <w:color w:val="FF0000"/>
          <w:lang w:val="en-US"/>
        </w:rPr>
        <w:t>Borgato</w:t>
      </w:r>
      <w:proofErr w:type="spellEnd"/>
      <w:r w:rsidRPr="00564208">
        <w:rPr>
          <w:rFonts w:eastAsiaTheme="minorHAnsi"/>
          <w:color w:val="FF0000"/>
          <w:lang w:val="en-US"/>
        </w:rPr>
        <w:t xml:space="preserve"> </w:t>
      </w:r>
      <w:r w:rsidRPr="00F9412F">
        <w:rPr>
          <w:rFonts w:eastAsiaTheme="minorHAnsi"/>
          <w:i/>
          <w:color w:val="FF0000"/>
          <w:lang w:val="en-US"/>
        </w:rPr>
        <w:t>et al</w:t>
      </w:r>
      <w:r w:rsidRPr="00564208">
        <w:rPr>
          <w:rFonts w:eastAsiaTheme="minorHAnsi"/>
          <w:color w:val="FF0000"/>
          <w:lang w:val="en-US"/>
        </w:rPr>
        <w:t xml:space="preserve">. 2002). However, when comparing clonality between skin and joints of the same individual only in three of them shared clones were found across tissues, inconclusively supporting the existence of a homogenous T cell population driving psoriasis and </w:t>
      </w:r>
      <w:proofErr w:type="spellStart"/>
      <w:r w:rsidRPr="00564208">
        <w:rPr>
          <w:rFonts w:eastAsiaTheme="minorHAnsi"/>
          <w:color w:val="FF0000"/>
          <w:lang w:val="en-US"/>
        </w:rPr>
        <w:t>PsA</w:t>
      </w:r>
      <w:proofErr w:type="spellEnd"/>
      <w:r w:rsidRPr="00564208">
        <w:rPr>
          <w:rFonts w:eastAsiaTheme="minorHAnsi"/>
          <w:color w:val="FF0000"/>
          <w:lang w:val="en-US"/>
        </w:rPr>
        <w:t xml:space="preserve"> simultaneously.</w:t>
      </w:r>
    </w:p>
    <w:p w14:paraId="61FE594F" w14:textId="75B50E27" w:rsidR="00523500" w:rsidRDefault="00523500" w:rsidP="00564208">
      <w:pPr>
        <w:autoSpaceDE w:val="0"/>
        <w:autoSpaceDN w:val="0"/>
        <w:adjustRightInd w:val="0"/>
        <w:jc w:val="both"/>
        <w:rPr>
          <w:color w:val="FF0000"/>
        </w:rPr>
      </w:pPr>
    </w:p>
    <w:p w14:paraId="3DECE1EF" w14:textId="561FA3D1" w:rsidR="00523500" w:rsidRPr="00564208" w:rsidRDefault="00523500" w:rsidP="00523500">
      <w:pPr>
        <w:autoSpaceDE w:val="0"/>
        <w:autoSpaceDN w:val="0"/>
        <w:adjustRightInd w:val="0"/>
        <w:jc w:val="both"/>
        <w:rPr>
          <w:color w:val="FF0000"/>
        </w:rPr>
      </w:pPr>
      <w:r>
        <w:rPr>
          <w:rFonts w:eastAsiaTheme="minorHAnsi"/>
          <w:color w:val="FF0000"/>
          <w:lang w:val="en-US"/>
        </w:rPr>
        <w:t xml:space="preserve">Altogether, epidemiological, pathophysiological and genetic data have shown evidence for psoriasis and </w:t>
      </w:r>
      <w:proofErr w:type="spellStart"/>
      <w:r>
        <w:rPr>
          <w:rFonts w:eastAsiaTheme="minorHAnsi"/>
          <w:color w:val="FF0000"/>
          <w:lang w:val="en-US"/>
        </w:rPr>
        <w:t>PsA</w:t>
      </w:r>
      <w:proofErr w:type="spellEnd"/>
      <w:r>
        <w:rPr>
          <w:rFonts w:eastAsiaTheme="minorHAnsi"/>
          <w:color w:val="FF0000"/>
          <w:lang w:val="en-US"/>
        </w:rPr>
        <w:t xml:space="preserve"> to be consider as a common disease, but they have also revealed heterogeneity between the two conditions. Additional research in the genetics, cellular and molecular components contributing to both pathophysiological processes will be required to further understand the overlap in the </w:t>
      </w:r>
      <w:proofErr w:type="spellStart"/>
      <w:r>
        <w:rPr>
          <w:rFonts w:eastAsiaTheme="minorHAnsi"/>
          <w:color w:val="FF0000"/>
          <w:lang w:val="en-US"/>
        </w:rPr>
        <w:t>aetiology</w:t>
      </w:r>
      <w:proofErr w:type="spellEnd"/>
      <w:r>
        <w:rPr>
          <w:rFonts w:eastAsiaTheme="minorHAnsi"/>
          <w:color w:val="FF0000"/>
          <w:lang w:val="en-US"/>
        </w:rPr>
        <w:t xml:space="preserve"> of cutaneous and articular disease.</w:t>
      </w:r>
    </w:p>
    <w:p w14:paraId="4A58981D" w14:textId="77777777" w:rsidR="00A92B4B" w:rsidRPr="006E2C58" w:rsidRDefault="00A92B4B" w:rsidP="006E2C58">
      <w:pPr>
        <w:tabs>
          <w:tab w:val="left" w:pos="284"/>
        </w:tabs>
        <w:jc w:val="both"/>
        <w:rPr>
          <w:b/>
          <w:sz w:val="28"/>
          <w:szCs w:val="28"/>
        </w:rPr>
      </w:pPr>
    </w:p>
    <w:p w14:paraId="31B0256B" w14:textId="673B7819" w:rsidR="00D709D1" w:rsidRDefault="00D709D1" w:rsidP="006E2C58">
      <w:pPr>
        <w:pStyle w:val="ListParagraph"/>
        <w:numPr>
          <w:ilvl w:val="0"/>
          <w:numId w:val="1"/>
        </w:numPr>
        <w:tabs>
          <w:tab w:val="left" w:pos="284"/>
        </w:tabs>
        <w:ind w:left="0" w:firstLine="0"/>
        <w:jc w:val="both"/>
        <w:rPr>
          <w:b/>
          <w:sz w:val="28"/>
          <w:szCs w:val="28"/>
        </w:rPr>
      </w:pPr>
      <w:r w:rsidRPr="00D709D1">
        <w:rPr>
          <w:b/>
          <w:sz w:val="28"/>
          <w:szCs w:val="28"/>
        </w:rPr>
        <w:t xml:space="preserve">The verbal explanation of the results of GWAS / </w:t>
      </w:r>
      <w:proofErr w:type="spellStart"/>
      <w:r w:rsidRPr="00D709D1">
        <w:rPr>
          <w:b/>
          <w:sz w:val="28"/>
          <w:szCs w:val="28"/>
        </w:rPr>
        <w:t>immunochip</w:t>
      </w:r>
      <w:proofErr w:type="spellEnd"/>
      <w:r w:rsidRPr="00D709D1">
        <w:rPr>
          <w:b/>
          <w:sz w:val="28"/>
          <w:szCs w:val="28"/>
        </w:rPr>
        <w:t xml:space="preserve"> studies comparing psoriasis and </w:t>
      </w:r>
      <w:proofErr w:type="spellStart"/>
      <w:r w:rsidRPr="00D709D1">
        <w:rPr>
          <w:b/>
          <w:sz w:val="28"/>
          <w:szCs w:val="28"/>
        </w:rPr>
        <w:t>PsA</w:t>
      </w:r>
      <w:proofErr w:type="spellEnd"/>
      <w:r w:rsidRPr="00D709D1">
        <w:rPr>
          <w:b/>
          <w:sz w:val="28"/>
          <w:szCs w:val="28"/>
        </w:rPr>
        <w:t xml:space="preserve"> was better than the written and I would suggest updating this in the thesis.</w:t>
      </w:r>
    </w:p>
    <w:p w14:paraId="6F7B3843" w14:textId="3F281E6E" w:rsidR="00B75874" w:rsidRDefault="00B75874" w:rsidP="00B75874">
      <w:pPr>
        <w:tabs>
          <w:tab w:val="left" w:pos="284"/>
        </w:tabs>
        <w:jc w:val="both"/>
        <w:rPr>
          <w:b/>
          <w:sz w:val="28"/>
          <w:szCs w:val="28"/>
        </w:rPr>
      </w:pPr>
    </w:p>
    <w:p w14:paraId="46335505" w14:textId="297E4980" w:rsidR="00B75874" w:rsidRPr="00B75874" w:rsidRDefault="00B75874" w:rsidP="00B75874">
      <w:pPr>
        <w:autoSpaceDE w:val="0"/>
        <w:autoSpaceDN w:val="0"/>
        <w:adjustRightInd w:val="0"/>
        <w:jc w:val="both"/>
        <w:rPr>
          <w:color w:val="0070C0"/>
          <w:lang w:val="en-US"/>
        </w:rPr>
      </w:pPr>
      <w:r w:rsidRPr="00B75874">
        <w:rPr>
          <w:color w:val="0070C0"/>
          <w:lang w:val="en-US"/>
        </w:rPr>
        <w:t xml:space="preserve">Old: </w:t>
      </w:r>
      <w:r>
        <w:rPr>
          <w:color w:val="0070C0"/>
          <w:lang w:val="en-US"/>
        </w:rPr>
        <w:t>“</w:t>
      </w:r>
      <w:r w:rsidRPr="00B75874">
        <w:rPr>
          <w:color w:val="0070C0"/>
          <w:lang w:val="en-US"/>
        </w:rPr>
        <w:t xml:space="preserve">The first psoriasis and </w:t>
      </w:r>
      <w:proofErr w:type="spellStart"/>
      <w:r w:rsidRPr="00B75874">
        <w:rPr>
          <w:color w:val="0070C0"/>
          <w:lang w:val="en-US"/>
        </w:rPr>
        <w:t>PsA</w:t>
      </w:r>
      <w:proofErr w:type="spellEnd"/>
      <w:r w:rsidRPr="00B75874">
        <w:rPr>
          <w:color w:val="0070C0"/>
          <w:lang w:val="en-US"/>
        </w:rPr>
        <w:t xml:space="preserve"> GWAS were published in 2007, with a total of 63 independent genetic associations identified at genome-wide significance (p</w:t>
      </w:r>
      <w:r>
        <w:rPr>
          <w:color w:val="0070C0"/>
          <w:lang w:val="en-US"/>
        </w:rPr>
        <w:t>-</w:t>
      </w:r>
      <w:r w:rsidRPr="00B75874">
        <w:rPr>
          <w:color w:val="0070C0"/>
          <w:lang w:val="en-US"/>
        </w:rPr>
        <w:t xml:space="preserve">value&lt;5x10x10-8) to date (Table 1.3), explaining 28% of the estimated psoriasis and </w:t>
      </w:r>
      <w:proofErr w:type="spellStart"/>
      <w:r w:rsidRPr="00B75874">
        <w:rPr>
          <w:color w:val="0070C0"/>
          <w:lang w:val="en-US"/>
        </w:rPr>
        <w:t>PsA</w:t>
      </w:r>
      <w:proofErr w:type="spellEnd"/>
      <w:r w:rsidRPr="00B75874">
        <w:rPr>
          <w:color w:val="0070C0"/>
          <w:lang w:val="en-US"/>
        </w:rPr>
        <w:t xml:space="preserve"> heritability (Tsoi et al. 2017). The majority of studies have been performed in Caucasian European or North American cohorts, but increasing numbers of GWAS in large Chinese cohorts are also being published (Zhang et al. 2009;</w:t>
      </w:r>
      <w:r>
        <w:rPr>
          <w:color w:val="0070C0"/>
          <w:lang w:val="en-US"/>
        </w:rPr>
        <w:t xml:space="preserve"> </w:t>
      </w:r>
      <w:r w:rsidRPr="00B75874">
        <w:rPr>
          <w:color w:val="0070C0"/>
          <w:lang w:val="en-US"/>
        </w:rPr>
        <w:t>Sun et al. 2010; Yin et al. 2015). Early GWAS with moderate power confirmed association with loci overlapping the PSOR1 and PSOR2 genomic regions (Cargill et al. 2007; Strange et al. 2010). HLA-C has been consistently identified as the most significant locus with the greatest effect size. Additional MHC-I and MHCII associations with disease risk have been identified for HLA-A, HLA-B and HLADQA1 through step-wise conditional analysis (Okada et al. 2014).</w:t>
      </w:r>
    </w:p>
    <w:p w14:paraId="3A51884B" w14:textId="77777777" w:rsidR="00B75874" w:rsidRPr="00B75874" w:rsidRDefault="00B75874" w:rsidP="00B75874">
      <w:pPr>
        <w:autoSpaceDE w:val="0"/>
        <w:autoSpaceDN w:val="0"/>
        <w:adjustRightInd w:val="0"/>
        <w:jc w:val="both"/>
        <w:rPr>
          <w:color w:val="0070C0"/>
          <w:lang w:val="en-US"/>
        </w:rPr>
      </w:pPr>
    </w:p>
    <w:p w14:paraId="64E6792A" w14:textId="02FBB4C3" w:rsidR="00B75874" w:rsidRPr="00B75874" w:rsidRDefault="00B75874" w:rsidP="00B75874">
      <w:pPr>
        <w:autoSpaceDE w:val="0"/>
        <w:autoSpaceDN w:val="0"/>
        <w:adjustRightInd w:val="0"/>
        <w:jc w:val="both"/>
        <w:rPr>
          <w:color w:val="0070C0"/>
          <w:lang w:val="en-US"/>
        </w:rPr>
      </w:pPr>
      <w:r w:rsidRPr="00B75874">
        <w:rPr>
          <w:color w:val="0070C0"/>
          <w:lang w:val="en-US"/>
        </w:rPr>
        <w:t xml:space="preserve">The informativeness of GWAS was significantly enhanced with the use of the </w:t>
      </w:r>
      <w:proofErr w:type="spellStart"/>
      <w:r w:rsidRPr="00B75874">
        <w:rPr>
          <w:color w:val="0070C0"/>
          <w:lang w:val="en-US"/>
        </w:rPr>
        <w:t>Immunochip</w:t>
      </w:r>
      <w:proofErr w:type="spellEnd"/>
      <w:r w:rsidRPr="00B75874">
        <w:rPr>
          <w:color w:val="0070C0"/>
          <w:lang w:val="en-US"/>
        </w:rPr>
        <w:t xml:space="preserve"> genotyping chip, which covers 186 immune relevant loci identified in previous GWAS across different inflammatory diseases at a greater genotyping density (Tsoi et al. 2012). The psoriasis </w:t>
      </w:r>
      <w:proofErr w:type="spellStart"/>
      <w:r w:rsidRPr="00B75874">
        <w:rPr>
          <w:color w:val="0070C0"/>
          <w:lang w:val="en-US"/>
        </w:rPr>
        <w:t>Immunochip</w:t>
      </w:r>
      <w:proofErr w:type="spellEnd"/>
      <w:r w:rsidRPr="00B75874">
        <w:rPr>
          <w:color w:val="0070C0"/>
          <w:lang w:val="en-US"/>
        </w:rPr>
        <w:t xml:space="preserve"> study uncovered 15 new associations, including CARD14 at the PSOR4, also included meta</w:t>
      </w:r>
      <w:r>
        <w:rPr>
          <w:color w:val="0070C0"/>
          <w:lang w:val="en-US"/>
        </w:rPr>
        <w:t>-</w:t>
      </w:r>
      <w:r w:rsidRPr="00B75874">
        <w:rPr>
          <w:color w:val="0070C0"/>
          <w:lang w:val="en-US"/>
        </w:rPr>
        <w:t xml:space="preserve">analysis with the largest available psoriasis cohorts at the time (Tsoi et al. 2012). This meta-analysis has since been further expanded, yielding 16 additional associations and reinforcing the importance of NF_B and cytotoxicity pathways in disease pathophysiology </w:t>
      </w:r>
      <w:r w:rsidRPr="00B75874">
        <w:rPr>
          <w:color w:val="0070C0"/>
          <w:lang w:val="en-US"/>
        </w:rPr>
        <w:lastRenderedPageBreak/>
        <w:t>(Tsoi et al. 2015b; Tsoi et al. 2017). Meta-analysis of GWAS across Caucasian and Chinese populations revealed four new associations, as well as population-specific effect or allelic heterogeneity in 11 loci, including MHC-I genes, demonstrating the value of a trans-ethnic approach, to further understand the heterogeneous genetic susceptibility to psoriasis in different</w:t>
      </w:r>
    </w:p>
    <w:p w14:paraId="78C32AE1" w14:textId="77777777" w:rsidR="00B75874" w:rsidRPr="00B75874" w:rsidRDefault="00B75874" w:rsidP="00B75874">
      <w:pPr>
        <w:autoSpaceDE w:val="0"/>
        <w:autoSpaceDN w:val="0"/>
        <w:adjustRightInd w:val="0"/>
        <w:jc w:val="both"/>
        <w:rPr>
          <w:color w:val="0070C0"/>
          <w:lang w:val="en-US"/>
        </w:rPr>
      </w:pPr>
      <w:r w:rsidRPr="00B75874">
        <w:rPr>
          <w:color w:val="0070C0"/>
          <w:lang w:val="en-US"/>
        </w:rPr>
        <w:t xml:space="preserve">populations (Yin et al. 2015). </w:t>
      </w:r>
    </w:p>
    <w:p w14:paraId="7250E5C8" w14:textId="77777777" w:rsidR="00B75874" w:rsidRPr="00B75874" w:rsidRDefault="00B75874" w:rsidP="00B75874">
      <w:pPr>
        <w:autoSpaceDE w:val="0"/>
        <w:autoSpaceDN w:val="0"/>
        <w:adjustRightInd w:val="0"/>
        <w:jc w:val="both"/>
        <w:rPr>
          <w:color w:val="0070C0"/>
          <w:lang w:val="en-US"/>
        </w:rPr>
      </w:pPr>
    </w:p>
    <w:p w14:paraId="2FC73353" w14:textId="49A3B46A" w:rsidR="00B75874" w:rsidRPr="00B75874" w:rsidRDefault="00B75874" w:rsidP="00B75874">
      <w:pPr>
        <w:autoSpaceDE w:val="0"/>
        <w:autoSpaceDN w:val="0"/>
        <w:adjustRightInd w:val="0"/>
        <w:jc w:val="both"/>
        <w:rPr>
          <w:color w:val="0070C0"/>
          <w:lang w:val="en-US"/>
        </w:rPr>
      </w:pPr>
      <w:r w:rsidRPr="00B75874">
        <w:rPr>
          <w:color w:val="0070C0"/>
          <w:lang w:val="en-US"/>
        </w:rPr>
        <w:t xml:space="preserve">Conducting independent GWAS for psoriasis and </w:t>
      </w:r>
      <w:proofErr w:type="spellStart"/>
      <w:r w:rsidRPr="00B75874">
        <w:rPr>
          <w:color w:val="0070C0"/>
          <w:lang w:val="en-US"/>
        </w:rPr>
        <w:t>PsA</w:t>
      </w:r>
      <w:proofErr w:type="spellEnd"/>
      <w:r w:rsidRPr="00B75874">
        <w:rPr>
          <w:color w:val="0070C0"/>
          <w:lang w:val="en-US"/>
        </w:rPr>
        <w:t xml:space="preserve"> has shown</w:t>
      </w:r>
      <w:r>
        <w:rPr>
          <w:color w:val="0070C0"/>
          <w:lang w:val="en-US"/>
        </w:rPr>
        <w:t xml:space="preserve"> </w:t>
      </w:r>
      <w:r w:rsidRPr="00B75874">
        <w:rPr>
          <w:color w:val="0070C0"/>
          <w:lang w:val="en-US"/>
        </w:rPr>
        <w:t xml:space="preserve">differences in HLA-C and HLA-B allele frequencies. Interestingly higher association with HLA-B has been found in </w:t>
      </w:r>
      <w:proofErr w:type="spellStart"/>
      <w:r w:rsidRPr="00B75874">
        <w:rPr>
          <w:color w:val="0070C0"/>
          <w:lang w:val="en-US"/>
        </w:rPr>
        <w:t>PsA</w:t>
      </w:r>
      <w:proofErr w:type="spellEnd"/>
      <w:r w:rsidRPr="00B75874">
        <w:rPr>
          <w:color w:val="0070C0"/>
          <w:lang w:val="en-US"/>
        </w:rPr>
        <w:t xml:space="preserve"> individuals compared to psoriasis patients without joint inflammation (Winchester et al. 2012; Okada et al. 2014). GWAS associations for previously identified psoriasis loci such as IFNLR1, IFIH1 and NFKBIA were also found as genome-wide significant when using </w:t>
      </w:r>
      <w:proofErr w:type="spellStart"/>
      <w:r w:rsidRPr="00B75874">
        <w:rPr>
          <w:color w:val="0070C0"/>
          <w:lang w:val="en-US"/>
        </w:rPr>
        <w:t>PsA</w:t>
      </w:r>
      <w:proofErr w:type="spellEnd"/>
      <w:r w:rsidRPr="00B75874">
        <w:rPr>
          <w:color w:val="0070C0"/>
          <w:lang w:val="en-US"/>
        </w:rPr>
        <w:t xml:space="preserve"> cases, and </w:t>
      </w:r>
      <w:proofErr w:type="spellStart"/>
      <w:r w:rsidRPr="00B75874">
        <w:rPr>
          <w:color w:val="0070C0"/>
          <w:lang w:val="en-US"/>
        </w:rPr>
        <w:t>PsA</w:t>
      </w:r>
      <w:proofErr w:type="spellEnd"/>
      <w:r w:rsidRPr="00B75874">
        <w:rPr>
          <w:color w:val="0070C0"/>
          <w:lang w:val="en-US"/>
        </w:rPr>
        <w:t>-specific independent signals for IL23R and TNFAIP3 demonstrated stronger associations compared to psoriasis patients only with cutaneous affection (</w:t>
      </w:r>
      <w:proofErr w:type="spellStart"/>
      <w:r w:rsidRPr="00B75874">
        <w:rPr>
          <w:color w:val="0070C0"/>
          <w:lang w:val="en-US"/>
        </w:rPr>
        <w:t>Ellinghaus</w:t>
      </w:r>
      <w:proofErr w:type="spellEnd"/>
      <w:r w:rsidRPr="00B75874">
        <w:rPr>
          <w:color w:val="0070C0"/>
          <w:lang w:val="en-US"/>
        </w:rPr>
        <w:t xml:space="preserve"> et al. 2010; Stuart et al. 2015). Furthermore, </w:t>
      </w:r>
      <w:proofErr w:type="spellStart"/>
      <w:r w:rsidRPr="00B75874">
        <w:rPr>
          <w:color w:val="0070C0"/>
          <w:lang w:val="en-US"/>
        </w:rPr>
        <w:t>PsA</w:t>
      </w:r>
      <w:proofErr w:type="spellEnd"/>
      <w:r w:rsidRPr="00B75874">
        <w:rPr>
          <w:color w:val="0070C0"/>
          <w:lang w:val="en-US"/>
        </w:rPr>
        <w:t xml:space="preserve"> GWAS using </w:t>
      </w:r>
      <w:proofErr w:type="spellStart"/>
      <w:r w:rsidRPr="00B75874">
        <w:rPr>
          <w:color w:val="0070C0"/>
          <w:lang w:val="en-US"/>
        </w:rPr>
        <w:t>Immunochip</w:t>
      </w:r>
      <w:proofErr w:type="spellEnd"/>
      <w:r w:rsidRPr="00B75874">
        <w:rPr>
          <w:color w:val="0070C0"/>
          <w:lang w:val="en-US"/>
        </w:rPr>
        <w:t xml:space="preserve"> has also revealed a specific association in chromosome 5q31 not reported previously (Bowes et al. 2015). </w:t>
      </w:r>
    </w:p>
    <w:p w14:paraId="0808D26B" w14:textId="77777777" w:rsidR="00B75874" w:rsidRPr="00B75874" w:rsidRDefault="00B75874" w:rsidP="00B75874">
      <w:pPr>
        <w:autoSpaceDE w:val="0"/>
        <w:autoSpaceDN w:val="0"/>
        <w:adjustRightInd w:val="0"/>
        <w:jc w:val="both"/>
        <w:rPr>
          <w:color w:val="0070C0"/>
          <w:lang w:val="en-US"/>
        </w:rPr>
      </w:pPr>
    </w:p>
    <w:p w14:paraId="557D0F7D" w14:textId="6E3F06FB" w:rsidR="00B75874" w:rsidRDefault="00B75874" w:rsidP="00B75874">
      <w:pPr>
        <w:autoSpaceDE w:val="0"/>
        <w:autoSpaceDN w:val="0"/>
        <w:adjustRightInd w:val="0"/>
        <w:jc w:val="both"/>
        <w:rPr>
          <w:color w:val="0070C0"/>
          <w:lang w:val="en-US"/>
        </w:rPr>
      </w:pPr>
      <w:r w:rsidRPr="00B75874">
        <w:rPr>
          <w:color w:val="0070C0"/>
          <w:lang w:val="en-US"/>
        </w:rPr>
        <w:t>Overall,</w:t>
      </w:r>
      <w:r>
        <w:rPr>
          <w:color w:val="0070C0"/>
          <w:lang w:val="en-US"/>
        </w:rPr>
        <w:t xml:space="preserve"> </w:t>
      </w:r>
      <w:r w:rsidRPr="00B75874">
        <w:rPr>
          <w:color w:val="0070C0"/>
          <w:lang w:val="en-US"/>
        </w:rPr>
        <w:t xml:space="preserve">GWAS have demonstrated shared and distinct genetic architectures for psoriasis and </w:t>
      </w:r>
      <w:proofErr w:type="spellStart"/>
      <w:r w:rsidRPr="00B75874">
        <w:rPr>
          <w:color w:val="0070C0"/>
          <w:lang w:val="en-US"/>
        </w:rPr>
        <w:t>PsA.</w:t>
      </w:r>
      <w:proofErr w:type="spellEnd"/>
      <w:r w:rsidRPr="00B75874">
        <w:rPr>
          <w:color w:val="0070C0"/>
          <w:lang w:val="en-US"/>
        </w:rPr>
        <w:t xml:space="preserve"> Nevertheless, it is important to </w:t>
      </w:r>
      <w:proofErr w:type="gramStart"/>
      <w:r w:rsidRPr="00B75874">
        <w:rPr>
          <w:color w:val="0070C0"/>
          <w:lang w:val="en-US"/>
        </w:rPr>
        <w:t>take into account</w:t>
      </w:r>
      <w:proofErr w:type="gramEnd"/>
      <w:r w:rsidRPr="00B75874">
        <w:rPr>
          <w:color w:val="0070C0"/>
          <w:lang w:val="en-US"/>
        </w:rPr>
        <w:t xml:space="preserve"> potential imprecision in the phenotyping of cases, one of the many challenges in the systematic comparison between the two disease, and the impact that this may have on the results of these studies.</w:t>
      </w:r>
      <w:r>
        <w:rPr>
          <w:color w:val="0070C0"/>
          <w:lang w:val="en-US"/>
        </w:rPr>
        <w:t>”</w:t>
      </w:r>
    </w:p>
    <w:p w14:paraId="08CE9EE0" w14:textId="79B1AA53" w:rsidR="00B75874" w:rsidRDefault="00B75874" w:rsidP="00B75874">
      <w:pPr>
        <w:autoSpaceDE w:val="0"/>
        <w:autoSpaceDN w:val="0"/>
        <w:adjustRightInd w:val="0"/>
        <w:jc w:val="both"/>
        <w:rPr>
          <w:color w:val="0070C0"/>
          <w:lang w:val="en-US"/>
        </w:rPr>
      </w:pPr>
    </w:p>
    <w:p w14:paraId="2FE01FC6" w14:textId="442FBEE1" w:rsidR="00B75874" w:rsidRDefault="00B75874" w:rsidP="00B75874">
      <w:pPr>
        <w:autoSpaceDE w:val="0"/>
        <w:autoSpaceDN w:val="0"/>
        <w:adjustRightInd w:val="0"/>
        <w:jc w:val="both"/>
        <w:rPr>
          <w:color w:val="0070C0"/>
          <w:lang w:val="en-US"/>
        </w:rPr>
      </w:pPr>
    </w:p>
    <w:p w14:paraId="6D0850EB" w14:textId="77777777" w:rsidR="00126549" w:rsidRPr="009615EA" w:rsidRDefault="00126549" w:rsidP="00126549">
      <w:pPr>
        <w:autoSpaceDE w:val="0"/>
        <w:autoSpaceDN w:val="0"/>
        <w:adjustRightInd w:val="0"/>
        <w:jc w:val="both"/>
        <w:rPr>
          <w:color w:val="FF0000"/>
          <w:lang w:val="en-US"/>
        </w:rPr>
      </w:pPr>
      <w:r w:rsidRPr="00126549">
        <w:rPr>
          <w:color w:val="FF0000"/>
          <w:lang w:val="en-US"/>
        </w:rPr>
        <w:t>New: “</w:t>
      </w:r>
      <w:r w:rsidRPr="009615EA">
        <w:rPr>
          <w:color w:val="FF0000"/>
          <w:lang w:val="en-US"/>
        </w:rPr>
        <w:t xml:space="preserve">The first psoriasis GWAS published in 2007 by Cargill et al. has been followed by other studies with larger sample sizes and meta-analysis across different cohorts (Table 1.3). The vast majority of these GWAS have combined psoriasis (only cutaneous lesions) and </w:t>
      </w:r>
      <w:proofErr w:type="spellStart"/>
      <w:r w:rsidRPr="009615EA">
        <w:rPr>
          <w:color w:val="FF0000"/>
          <w:lang w:val="en-US"/>
        </w:rPr>
        <w:t>PsA</w:t>
      </w:r>
      <w:proofErr w:type="spellEnd"/>
      <w:r w:rsidRPr="009615EA">
        <w:rPr>
          <w:color w:val="FF0000"/>
          <w:lang w:val="en-US"/>
        </w:rPr>
        <w:t xml:space="preserve"> patients in the cases group. Up to date, psoriasis GWAS studies have identified a total of 63</w:t>
      </w:r>
    </w:p>
    <w:p w14:paraId="73153537" w14:textId="77777777" w:rsidR="00126549" w:rsidRPr="009615EA" w:rsidRDefault="00126549" w:rsidP="00126549">
      <w:pPr>
        <w:autoSpaceDE w:val="0"/>
        <w:autoSpaceDN w:val="0"/>
        <w:adjustRightInd w:val="0"/>
        <w:jc w:val="both"/>
        <w:rPr>
          <w:color w:val="FF0000"/>
          <w:lang w:val="en-US"/>
        </w:rPr>
      </w:pPr>
      <w:r w:rsidRPr="009615EA">
        <w:rPr>
          <w:color w:val="FF0000"/>
          <w:lang w:val="en-US"/>
        </w:rPr>
        <w:t xml:space="preserve">independent associations at genome-wide significance (p-value&lt;5x10-8) in European population, which only account for 28% of the overall estimated psoriasis and </w:t>
      </w:r>
      <w:proofErr w:type="spellStart"/>
      <w:r w:rsidRPr="009615EA">
        <w:rPr>
          <w:color w:val="FF0000"/>
          <w:lang w:val="en-US"/>
        </w:rPr>
        <w:t>PsA</w:t>
      </w:r>
      <w:proofErr w:type="spellEnd"/>
      <w:r w:rsidRPr="009615EA">
        <w:rPr>
          <w:color w:val="FF0000"/>
          <w:lang w:val="en-US"/>
        </w:rPr>
        <w:t xml:space="preserve"> heritability (Tsoi et al. 2017). The majority of studies have been performed in Caucasian European or North American cohorts, but increasing numbers of GWAS in large Chinese cohorts are also being published, increasing the number of independent associated loci to 70</w:t>
      </w:r>
    </w:p>
    <w:p w14:paraId="0FA763EA" w14:textId="77777777" w:rsidR="00126549" w:rsidRPr="009615EA" w:rsidRDefault="00126549" w:rsidP="00126549">
      <w:pPr>
        <w:autoSpaceDE w:val="0"/>
        <w:autoSpaceDN w:val="0"/>
        <w:adjustRightInd w:val="0"/>
        <w:jc w:val="both"/>
        <w:rPr>
          <w:color w:val="FF0000"/>
          <w:lang w:val="en-US"/>
        </w:rPr>
      </w:pPr>
      <w:r w:rsidRPr="009615EA">
        <w:rPr>
          <w:color w:val="FF0000"/>
          <w:lang w:val="en-US"/>
        </w:rPr>
        <w:t>(Zhang et al. 2009; Sun et al. 2010; Yin et al. 2015). Early GWAS with moderate power confirmed association with loci overlapping the PSOR1 and PSOR2 genomic regions (Cargill et al. 2007; Strange et al. 2010).</w:t>
      </w:r>
    </w:p>
    <w:p w14:paraId="23B0AEE6" w14:textId="77777777" w:rsidR="00126549" w:rsidRDefault="00126549" w:rsidP="00126549">
      <w:pPr>
        <w:autoSpaceDE w:val="0"/>
        <w:autoSpaceDN w:val="0"/>
        <w:adjustRightInd w:val="0"/>
        <w:jc w:val="both"/>
        <w:rPr>
          <w:color w:val="0070C0"/>
        </w:rPr>
      </w:pPr>
    </w:p>
    <w:p w14:paraId="4C326B72" w14:textId="4A955F28" w:rsidR="00126549" w:rsidRDefault="00126549" w:rsidP="00126549">
      <w:pPr>
        <w:autoSpaceDE w:val="0"/>
        <w:autoSpaceDN w:val="0"/>
        <w:adjustRightInd w:val="0"/>
        <w:jc w:val="both"/>
        <w:rPr>
          <w:color w:val="FF0000"/>
          <w:lang w:val="en-US"/>
        </w:rPr>
      </w:pPr>
      <w:r>
        <w:rPr>
          <w:color w:val="FF0000"/>
          <w:lang w:val="en-US"/>
        </w:rPr>
        <w:t xml:space="preserve">The informativeness of GWAS was significantly enhanced with the use of the </w:t>
      </w:r>
      <w:proofErr w:type="spellStart"/>
      <w:r>
        <w:rPr>
          <w:color w:val="FF0000"/>
          <w:lang w:val="en-US"/>
        </w:rPr>
        <w:t>Immunochip</w:t>
      </w:r>
      <w:proofErr w:type="spellEnd"/>
      <w:r>
        <w:rPr>
          <w:color w:val="FF0000"/>
          <w:lang w:val="en-US"/>
        </w:rPr>
        <w:t xml:space="preserve"> genotyping chip, which covers 186 immune relevant loci identified in previous GWAS across different inflammatory diseases at a greater genotyping density (Tsoi et al. 2012). The psoriasis </w:t>
      </w:r>
      <w:proofErr w:type="spellStart"/>
      <w:r>
        <w:rPr>
          <w:color w:val="FF0000"/>
          <w:lang w:val="en-US"/>
        </w:rPr>
        <w:t>Immunochip</w:t>
      </w:r>
      <w:proofErr w:type="spellEnd"/>
      <w:r>
        <w:rPr>
          <w:color w:val="FF0000"/>
          <w:lang w:val="en-US"/>
        </w:rPr>
        <w:t xml:space="preserve"> study uncovered 15 new associations, including CARD14 at the PSOR4, and also performed a meta-analysis incorporating the largest available psoriasis cohorts at the time (Tsoi et al. 2012). This meta-analysis has since been further expanded, yielding sixteen additional associations and reinforcing the importance of NF</w:t>
      </w:r>
      <w:r w:rsidR="00433AB4">
        <w:rPr>
          <w:color w:val="FF0000"/>
          <w:lang w:val="en-US"/>
        </w:rPr>
        <w:t>-</w:t>
      </w:r>
      <w:r w:rsidR="00433AB4">
        <w:rPr>
          <w:color w:val="FF0000"/>
          <w:lang w:val="en-US"/>
        </w:rPr>
        <w:sym w:font="Symbol" w:char="F06B"/>
      </w:r>
      <w:r>
        <w:rPr>
          <w:color w:val="FF0000"/>
          <w:lang w:val="en-US"/>
        </w:rPr>
        <w:t>B and cytotoxicity pathways in disease pathophysiology (Tsoi et al. 2015; Tsoi et al. 2017). Meta-analysis of GWAS across Caucasian and Chinese populations revealed four new associations as well as population-specific effect or allelic heterogeneity in eleven loci (including MHC-I genes), demonstrating the value of a trans-ethnic approach to further understand the heterogeneous genetic susceptibility to psoriasis in different populations (Yin et al. 2015).</w:t>
      </w:r>
    </w:p>
    <w:p w14:paraId="4550CF9A" w14:textId="77777777" w:rsidR="00126549" w:rsidRDefault="00126549" w:rsidP="00126549">
      <w:pPr>
        <w:autoSpaceDE w:val="0"/>
        <w:autoSpaceDN w:val="0"/>
        <w:adjustRightInd w:val="0"/>
        <w:rPr>
          <w:color w:val="000000"/>
          <w:lang w:val="en-US"/>
        </w:rPr>
      </w:pPr>
    </w:p>
    <w:p w14:paraId="483922F5" w14:textId="77777777" w:rsidR="00126549" w:rsidRPr="009615EA" w:rsidRDefault="00126549" w:rsidP="00126549">
      <w:pPr>
        <w:autoSpaceDE w:val="0"/>
        <w:autoSpaceDN w:val="0"/>
        <w:adjustRightInd w:val="0"/>
        <w:rPr>
          <w:b/>
          <w:color w:val="FF0000"/>
          <w:lang w:val="en-US"/>
        </w:rPr>
      </w:pPr>
      <w:proofErr w:type="gramStart"/>
      <w:r w:rsidRPr="009615EA">
        <w:rPr>
          <w:b/>
          <w:color w:val="FF0000"/>
          <w:lang w:val="en-US"/>
        </w:rPr>
        <w:t>Non MHC</w:t>
      </w:r>
      <w:proofErr w:type="gramEnd"/>
      <w:r w:rsidRPr="009615EA">
        <w:rPr>
          <w:b/>
          <w:color w:val="FF0000"/>
          <w:lang w:val="en-US"/>
        </w:rPr>
        <w:t xml:space="preserve"> genome-wide associations in psoriasis and </w:t>
      </w:r>
      <w:proofErr w:type="spellStart"/>
      <w:r w:rsidRPr="009615EA">
        <w:rPr>
          <w:b/>
          <w:color w:val="FF0000"/>
          <w:lang w:val="en-US"/>
        </w:rPr>
        <w:t>PsA</w:t>
      </w:r>
      <w:proofErr w:type="spellEnd"/>
    </w:p>
    <w:p w14:paraId="52FEECF1" w14:textId="0E739E5D" w:rsidR="00126549" w:rsidRDefault="00126549" w:rsidP="00126549">
      <w:pPr>
        <w:autoSpaceDE w:val="0"/>
        <w:autoSpaceDN w:val="0"/>
        <w:adjustRightInd w:val="0"/>
        <w:jc w:val="both"/>
        <w:rPr>
          <w:color w:val="FF0000"/>
          <w:lang w:val="en-US"/>
        </w:rPr>
      </w:pPr>
      <w:r>
        <w:rPr>
          <w:color w:val="FF0000"/>
          <w:lang w:val="en-US"/>
        </w:rPr>
        <w:lastRenderedPageBreak/>
        <w:t xml:space="preserve">A limited number of </w:t>
      </w:r>
      <w:proofErr w:type="spellStart"/>
      <w:r>
        <w:rPr>
          <w:color w:val="FF0000"/>
          <w:lang w:val="en-US"/>
        </w:rPr>
        <w:t>PsA</w:t>
      </w:r>
      <w:proofErr w:type="spellEnd"/>
      <w:r>
        <w:rPr>
          <w:color w:val="FF0000"/>
          <w:lang w:val="en-US"/>
        </w:rPr>
        <w:t xml:space="preserve"> GWAS have been </w:t>
      </w:r>
      <w:proofErr w:type="spellStart"/>
      <w:proofErr w:type="gramStart"/>
      <w:r>
        <w:rPr>
          <w:color w:val="FF0000"/>
          <w:lang w:val="en-US"/>
        </w:rPr>
        <w:t>conducted,being</w:t>
      </w:r>
      <w:proofErr w:type="spellEnd"/>
      <w:proofErr w:type="gramEnd"/>
      <w:r>
        <w:rPr>
          <w:color w:val="FF0000"/>
          <w:lang w:val="en-US"/>
        </w:rPr>
        <w:t xml:space="preserve"> the best powered the </w:t>
      </w:r>
      <w:proofErr w:type="spellStart"/>
      <w:r>
        <w:rPr>
          <w:color w:val="FF0000"/>
          <w:lang w:val="en-US"/>
        </w:rPr>
        <w:t>Immunochip</w:t>
      </w:r>
      <w:proofErr w:type="spellEnd"/>
      <w:r>
        <w:rPr>
          <w:color w:val="FF0000"/>
          <w:lang w:val="en-US"/>
        </w:rPr>
        <w:t xml:space="preserve"> study performed by Bowes and colleagues (Liu et al. 2008; </w:t>
      </w:r>
      <w:proofErr w:type="spellStart"/>
      <w:r>
        <w:rPr>
          <w:color w:val="FF0000"/>
          <w:lang w:val="en-US"/>
        </w:rPr>
        <w:t>Hffmeier</w:t>
      </w:r>
      <w:proofErr w:type="spellEnd"/>
      <w:r>
        <w:rPr>
          <w:color w:val="FF0000"/>
          <w:lang w:val="en-US"/>
        </w:rPr>
        <w:t xml:space="preserve"> et al. 2010; </w:t>
      </w:r>
      <w:proofErr w:type="spellStart"/>
      <w:r>
        <w:rPr>
          <w:color w:val="FF0000"/>
          <w:lang w:val="en-US"/>
        </w:rPr>
        <w:t>Ellinghaus</w:t>
      </w:r>
      <w:proofErr w:type="spellEnd"/>
      <w:r>
        <w:rPr>
          <w:color w:val="FF0000"/>
          <w:lang w:val="en-US"/>
        </w:rPr>
        <w:t xml:space="preserve"> et al. 2012; Bowes et al. 2015b). These studies identified a total of </w:t>
      </w:r>
      <w:r w:rsidR="000D0B61">
        <w:rPr>
          <w:color w:val="FF0000"/>
          <w:lang w:val="en-US"/>
        </w:rPr>
        <w:t>thirteen</w:t>
      </w:r>
      <w:r>
        <w:rPr>
          <w:color w:val="FF0000"/>
          <w:lang w:val="en-US"/>
        </w:rPr>
        <w:t xml:space="preserve"> </w:t>
      </w:r>
      <w:proofErr w:type="spellStart"/>
      <w:r>
        <w:rPr>
          <w:color w:val="FF0000"/>
          <w:lang w:val="en-US"/>
        </w:rPr>
        <w:t>PsA</w:t>
      </w:r>
      <w:proofErr w:type="spellEnd"/>
      <w:r>
        <w:rPr>
          <w:color w:val="FF0000"/>
          <w:lang w:val="en-US"/>
        </w:rPr>
        <w:t xml:space="preserve"> associated loci at genome-wide significance (p-value&lt;5x10</w:t>
      </w:r>
      <w:r w:rsidR="000D0B61" w:rsidRPr="000D0B61">
        <w:rPr>
          <w:color w:val="FF0000"/>
          <w:vertAlign w:val="superscript"/>
          <w:lang w:val="en-US"/>
        </w:rPr>
        <w:t>-8</w:t>
      </w:r>
      <w:r>
        <w:rPr>
          <w:color w:val="FF0000"/>
          <w:lang w:val="en-US"/>
        </w:rPr>
        <w:t xml:space="preserve">). The </w:t>
      </w:r>
      <w:proofErr w:type="spellStart"/>
      <w:r>
        <w:rPr>
          <w:color w:val="FF0000"/>
          <w:lang w:val="en-US"/>
        </w:rPr>
        <w:t>Immunochip</w:t>
      </w:r>
      <w:proofErr w:type="spellEnd"/>
      <w:r>
        <w:rPr>
          <w:color w:val="FF0000"/>
          <w:lang w:val="en-US"/>
        </w:rPr>
        <w:t xml:space="preserve"> </w:t>
      </w:r>
      <w:proofErr w:type="spellStart"/>
      <w:r>
        <w:rPr>
          <w:color w:val="FF0000"/>
          <w:lang w:val="en-US"/>
        </w:rPr>
        <w:t>PsA</w:t>
      </w:r>
      <w:proofErr w:type="spellEnd"/>
      <w:r>
        <w:rPr>
          <w:color w:val="FF0000"/>
          <w:lang w:val="en-US"/>
        </w:rPr>
        <w:t xml:space="preserve"> GWAS also unveiled </w:t>
      </w:r>
      <w:proofErr w:type="spellStart"/>
      <w:r>
        <w:rPr>
          <w:color w:val="FF0000"/>
          <w:lang w:val="en-US"/>
        </w:rPr>
        <w:t>PsA</w:t>
      </w:r>
      <w:proofErr w:type="spellEnd"/>
      <w:r>
        <w:rPr>
          <w:color w:val="FF0000"/>
          <w:lang w:val="en-US"/>
        </w:rPr>
        <w:t xml:space="preserve">-specific associations at the IL23R, 5q31 and </w:t>
      </w:r>
      <w:r w:rsidRPr="00E846E0">
        <w:rPr>
          <w:i/>
          <w:color w:val="FF0000"/>
          <w:lang w:val="en-US"/>
        </w:rPr>
        <w:t>PTPN22</w:t>
      </w:r>
      <w:r>
        <w:rPr>
          <w:color w:val="FF0000"/>
          <w:lang w:val="en-US"/>
        </w:rPr>
        <w:t xml:space="preserve"> loci, which did not show significant associations (not even at nominal p-value &lt;0.05) in psoriasis patients (Bowes et al. 2015b; Bowes et al. 2015a).</w:t>
      </w:r>
    </w:p>
    <w:p w14:paraId="18D4AE86" w14:textId="77777777" w:rsidR="00126549" w:rsidRDefault="00126549" w:rsidP="00126549">
      <w:pPr>
        <w:autoSpaceDE w:val="0"/>
        <w:autoSpaceDN w:val="0"/>
        <w:adjustRightInd w:val="0"/>
        <w:rPr>
          <w:color w:val="FF0000"/>
          <w:lang w:val="en-US"/>
        </w:rPr>
      </w:pPr>
    </w:p>
    <w:p w14:paraId="3237FD68" w14:textId="01228FE5" w:rsidR="00126549" w:rsidRDefault="00126549" w:rsidP="00126549">
      <w:pPr>
        <w:autoSpaceDE w:val="0"/>
        <w:autoSpaceDN w:val="0"/>
        <w:adjustRightInd w:val="0"/>
        <w:jc w:val="both"/>
        <w:rPr>
          <w:color w:val="FF0000"/>
          <w:lang w:val="en-US"/>
        </w:rPr>
      </w:pPr>
      <w:r>
        <w:rPr>
          <w:color w:val="FF0000"/>
          <w:lang w:val="en-US"/>
        </w:rPr>
        <w:t xml:space="preserve">Following the </w:t>
      </w:r>
      <w:proofErr w:type="spellStart"/>
      <w:r>
        <w:rPr>
          <w:color w:val="FF0000"/>
          <w:lang w:val="en-US"/>
        </w:rPr>
        <w:t>Immunochip</w:t>
      </w:r>
      <w:proofErr w:type="spellEnd"/>
      <w:r>
        <w:rPr>
          <w:color w:val="FF0000"/>
          <w:lang w:val="en-US"/>
        </w:rPr>
        <w:t xml:space="preserve"> </w:t>
      </w:r>
      <w:proofErr w:type="spellStart"/>
      <w:r>
        <w:rPr>
          <w:color w:val="FF0000"/>
          <w:lang w:val="en-US"/>
        </w:rPr>
        <w:t>PsA</w:t>
      </w:r>
      <w:proofErr w:type="spellEnd"/>
      <w:r>
        <w:rPr>
          <w:color w:val="FF0000"/>
          <w:lang w:val="en-US"/>
        </w:rPr>
        <w:t xml:space="preserve"> GWAS, Stuart and colleagues published a</w:t>
      </w:r>
      <w:r w:rsidR="00627402">
        <w:rPr>
          <w:color w:val="FF0000"/>
          <w:lang w:val="en-US"/>
        </w:rPr>
        <w:t xml:space="preserve"> </w:t>
      </w:r>
      <w:r w:rsidR="00627402" w:rsidRPr="00627402">
        <w:rPr>
          <w:rFonts w:ascii="Courier New" w:hAnsi="Courier New" w:cs="Courier New"/>
          <w:color w:val="FF0000"/>
          <w:lang w:val="en-US"/>
        </w:rPr>
        <w:t>﻿</w:t>
      </w:r>
      <w:r w:rsidR="00EA4DFD" w:rsidRPr="00EA4DFD">
        <w:rPr>
          <w:color w:val="FF0000"/>
          <w:lang w:val="en-US"/>
        </w:rPr>
        <w:t xml:space="preserve">larger study </w:t>
      </w:r>
      <w:r w:rsidR="00627402" w:rsidRPr="00627402">
        <w:rPr>
          <w:color w:val="FF0000"/>
          <w:lang w:val="en-US"/>
        </w:rPr>
        <w:t>than the one conducted in 2010</w:t>
      </w:r>
      <w:r>
        <w:rPr>
          <w:color w:val="FF0000"/>
          <w:lang w:val="en-US"/>
        </w:rPr>
        <w:t xml:space="preserve"> comparing associations between </w:t>
      </w:r>
      <w:proofErr w:type="spellStart"/>
      <w:r>
        <w:rPr>
          <w:color w:val="FF0000"/>
          <w:lang w:val="en-US"/>
        </w:rPr>
        <w:t>PsA</w:t>
      </w:r>
      <w:proofErr w:type="spellEnd"/>
      <w:r>
        <w:rPr>
          <w:color w:val="FF0000"/>
          <w:lang w:val="en-US"/>
        </w:rPr>
        <w:t xml:space="preserve"> patients and those psoriasis patients with skin symptoms that had not </w:t>
      </w:r>
      <w:r w:rsidR="00EA4DFD">
        <w:rPr>
          <w:color w:val="FF0000"/>
          <w:lang w:val="en-US"/>
        </w:rPr>
        <w:t>developed</w:t>
      </w:r>
      <w:r>
        <w:rPr>
          <w:color w:val="FF0000"/>
          <w:lang w:val="en-US"/>
        </w:rPr>
        <w:t xml:space="preserve"> </w:t>
      </w:r>
      <w:proofErr w:type="spellStart"/>
      <w:r>
        <w:rPr>
          <w:color w:val="FF0000"/>
          <w:lang w:val="en-US"/>
        </w:rPr>
        <w:t>PsA</w:t>
      </w:r>
      <w:proofErr w:type="spellEnd"/>
      <w:r>
        <w:rPr>
          <w:color w:val="FF0000"/>
          <w:lang w:val="en-US"/>
        </w:rPr>
        <w:t xml:space="preserve"> for at least ten years (Table 1.3). This study revealed nine regions associated with </w:t>
      </w:r>
      <w:proofErr w:type="spellStart"/>
      <w:r>
        <w:rPr>
          <w:color w:val="FF0000"/>
          <w:lang w:val="en-US"/>
        </w:rPr>
        <w:t>PsA</w:t>
      </w:r>
      <w:proofErr w:type="spellEnd"/>
      <w:r>
        <w:rPr>
          <w:color w:val="FF0000"/>
          <w:lang w:val="en-US"/>
        </w:rPr>
        <w:t xml:space="preserve"> (</w:t>
      </w:r>
      <w:r w:rsidRPr="00E846E0">
        <w:rPr>
          <w:i/>
          <w:color w:val="FF0000"/>
          <w:lang w:val="en-US"/>
        </w:rPr>
        <w:t>IFNLR1, IL23R, REL, IFIH1, TNIP1, IFNLR1, IL12B, TRAF3IP2, NFKBIA</w:t>
      </w:r>
      <w:r>
        <w:rPr>
          <w:color w:val="FF0000"/>
          <w:lang w:val="en-US"/>
        </w:rPr>
        <w:t xml:space="preserve"> and </w:t>
      </w:r>
      <w:r w:rsidRPr="00E846E0">
        <w:rPr>
          <w:i/>
          <w:color w:val="FF0000"/>
          <w:lang w:val="en-US"/>
        </w:rPr>
        <w:t>TYK2</w:t>
      </w:r>
      <w:r>
        <w:rPr>
          <w:color w:val="FF0000"/>
          <w:lang w:val="en-US"/>
        </w:rPr>
        <w:t>) and ten with cutaneous psoriasis (</w:t>
      </w:r>
      <w:r w:rsidRPr="00E846E0">
        <w:rPr>
          <w:i/>
          <w:color w:val="FF0000"/>
          <w:lang w:val="en-US"/>
        </w:rPr>
        <w:t xml:space="preserve">TNFRSF9, LCE3C/B, IL13, TNIP1, IL12B, TRAF3IP2, TNFAIP3, IL23A, NFKBIA </w:t>
      </w:r>
      <w:r w:rsidRPr="00E846E0">
        <w:rPr>
          <w:color w:val="FF0000"/>
          <w:lang w:val="en-US"/>
        </w:rPr>
        <w:t xml:space="preserve">and </w:t>
      </w:r>
      <w:r w:rsidRPr="00E846E0">
        <w:rPr>
          <w:i/>
          <w:color w:val="FF0000"/>
          <w:lang w:val="en-US"/>
        </w:rPr>
        <w:t>NOS2</w:t>
      </w:r>
      <w:r>
        <w:rPr>
          <w:color w:val="FF0000"/>
          <w:lang w:val="en-US"/>
        </w:rPr>
        <w:t xml:space="preserve">) at genome-wide significance. Amongst the psoriasis (combined cutaneous psoriasis and </w:t>
      </w:r>
      <w:proofErr w:type="spellStart"/>
      <w:r>
        <w:rPr>
          <w:color w:val="FF0000"/>
          <w:lang w:val="en-US"/>
        </w:rPr>
        <w:t>PsA</w:t>
      </w:r>
      <w:proofErr w:type="spellEnd"/>
      <w:r>
        <w:rPr>
          <w:color w:val="FF0000"/>
          <w:lang w:val="en-US"/>
        </w:rPr>
        <w:t xml:space="preserve"> together) GWAS variants reported by Stuart and colleagues, those nearby </w:t>
      </w:r>
      <w:r w:rsidRPr="00E846E0">
        <w:rPr>
          <w:i/>
          <w:color w:val="FF0000"/>
          <w:lang w:val="en-US"/>
        </w:rPr>
        <w:t>TNFRSF9</w:t>
      </w:r>
      <w:r>
        <w:rPr>
          <w:color w:val="FF0000"/>
          <w:lang w:val="en-US"/>
        </w:rPr>
        <w:t xml:space="preserve"> and </w:t>
      </w:r>
      <w:r w:rsidRPr="00E846E0">
        <w:rPr>
          <w:i/>
          <w:color w:val="FF0000"/>
          <w:lang w:val="en-US"/>
        </w:rPr>
        <w:t>LCE3A</w:t>
      </w:r>
      <w:r>
        <w:rPr>
          <w:color w:val="FF0000"/>
          <w:lang w:val="en-US"/>
        </w:rPr>
        <w:t xml:space="preserve"> showed stronger association with </w:t>
      </w:r>
      <w:proofErr w:type="spellStart"/>
      <w:r>
        <w:rPr>
          <w:color w:val="FF0000"/>
          <w:lang w:val="en-US"/>
        </w:rPr>
        <w:t>cutaeous</w:t>
      </w:r>
      <w:proofErr w:type="spellEnd"/>
      <w:r>
        <w:rPr>
          <w:color w:val="FF0000"/>
          <w:lang w:val="en-US"/>
        </w:rPr>
        <w:t xml:space="preserve"> psoriasis than </w:t>
      </w:r>
      <w:proofErr w:type="spellStart"/>
      <w:r>
        <w:rPr>
          <w:color w:val="FF0000"/>
          <w:lang w:val="en-US"/>
        </w:rPr>
        <w:t>PsA</w:t>
      </w:r>
      <w:proofErr w:type="spellEnd"/>
      <w:r>
        <w:rPr>
          <w:color w:val="FF0000"/>
          <w:lang w:val="en-US"/>
        </w:rPr>
        <w:t xml:space="preserve"> whereas variants at the IL23R and TNFAIP3 loci presented stronger association with </w:t>
      </w:r>
      <w:proofErr w:type="spellStart"/>
      <w:r>
        <w:rPr>
          <w:color w:val="FF0000"/>
          <w:lang w:val="en-US"/>
        </w:rPr>
        <w:t>PsA</w:t>
      </w:r>
      <w:proofErr w:type="spellEnd"/>
      <w:r>
        <w:rPr>
          <w:color w:val="FF0000"/>
          <w:lang w:val="en-US"/>
        </w:rPr>
        <w:t xml:space="preserve"> compared to cutaneous psoriasis. </w:t>
      </w:r>
      <w:proofErr w:type="spellStart"/>
      <w:proofErr w:type="gramStart"/>
      <w:r>
        <w:rPr>
          <w:color w:val="FF0000"/>
          <w:lang w:val="en-US"/>
        </w:rPr>
        <w:t>Moreover,the</w:t>
      </w:r>
      <w:proofErr w:type="spellEnd"/>
      <w:proofErr w:type="gramEnd"/>
      <w:r>
        <w:rPr>
          <w:color w:val="FF0000"/>
          <w:lang w:val="en-US"/>
        </w:rPr>
        <w:t xml:space="preserve"> </w:t>
      </w:r>
      <w:proofErr w:type="spellStart"/>
      <w:r>
        <w:rPr>
          <w:color w:val="FF0000"/>
          <w:lang w:val="en-US"/>
        </w:rPr>
        <w:t>PsA</w:t>
      </w:r>
      <w:proofErr w:type="spellEnd"/>
      <w:r>
        <w:rPr>
          <w:color w:val="FF0000"/>
          <w:lang w:val="en-US"/>
        </w:rPr>
        <w:t xml:space="preserve"> significantly associated variants at IL23R (previously reported by Bowes et al., 2015) and TNFAIP3 loci were independent from previously identified psoriasis variants at the same loci.</w:t>
      </w:r>
    </w:p>
    <w:p w14:paraId="29015780" w14:textId="77777777" w:rsidR="00126549" w:rsidRDefault="00126549" w:rsidP="00126549">
      <w:pPr>
        <w:autoSpaceDE w:val="0"/>
        <w:autoSpaceDN w:val="0"/>
        <w:adjustRightInd w:val="0"/>
        <w:jc w:val="both"/>
        <w:rPr>
          <w:color w:val="FF0000"/>
          <w:lang w:val="en-US"/>
        </w:rPr>
      </w:pPr>
    </w:p>
    <w:p w14:paraId="33867F60" w14:textId="77777777" w:rsidR="00126549" w:rsidRDefault="00126549" w:rsidP="00126549">
      <w:pPr>
        <w:autoSpaceDE w:val="0"/>
        <w:autoSpaceDN w:val="0"/>
        <w:adjustRightInd w:val="0"/>
        <w:jc w:val="both"/>
        <w:rPr>
          <w:color w:val="FF0000"/>
          <w:lang w:val="en-US"/>
        </w:rPr>
      </w:pPr>
      <w:r>
        <w:rPr>
          <w:color w:val="FF0000"/>
          <w:lang w:val="en-US"/>
        </w:rPr>
        <w:t xml:space="preserve">Interestingly, </w:t>
      </w:r>
      <w:proofErr w:type="spellStart"/>
      <w:r>
        <w:rPr>
          <w:color w:val="FF0000"/>
          <w:lang w:val="en-US"/>
        </w:rPr>
        <w:t>PsA</w:t>
      </w:r>
      <w:proofErr w:type="spellEnd"/>
      <w:r>
        <w:rPr>
          <w:color w:val="FF0000"/>
          <w:lang w:val="en-US"/>
        </w:rPr>
        <w:t xml:space="preserve">-specific signals previously identified by less powered studies failed to show significant differences in association between cutaneous psoriasis and </w:t>
      </w:r>
      <w:proofErr w:type="spellStart"/>
      <w:r>
        <w:rPr>
          <w:color w:val="FF0000"/>
          <w:lang w:val="en-US"/>
        </w:rPr>
        <w:t>PsA</w:t>
      </w:r>
      <w:proofErr w:type="spellEnd"/>
      <w:r>
        <w:rPr>
          <w:color w:val="FF0000"/>
          <w:lang w:val="en-US"/>
        </w:rPr>
        <w:t xml:space="preserve"> in the Stuart and </w:t>
      </w:r>
      <w:proofErr w:type="gramStart"/>
      <w:r>
        <w:rPr>
          <w:color w:val="FF0000"/>
          <w:lang w:val="en-US"/>
        </w:rPr>
        <w:t>colleagues</w:t>
      </w:r>
      <w:proofErr w:type="gramEnd"/>
      <w:r>
        <w:rPr>
          <w:color w:val="FF0000"/>
          <w:lang w:val="en-US"/>
        </w:rPr>
        <w:t xml:space="preserve"> analysis (including the 5q31 loci reported by the </w:t>
      </w:r>
      <w:proofErr w:type="spellStart"/>
      <w:r>
        <w:rPr>
          <w:color w:val="FF0000"/>
          <w:lang w:val="en-US"/>
        </w:rPr>
        <w:t>Immunochip</w:t>
      </w:r>
      <w:proofErr w:type="spellEnd"/>
      <w:r>
        <w:rPr>
          <w:color w:val="FF0000"/>
          <w:lang w:val="en-US"/>
        </w:rPr>
        <w:t xml:space="preserve"> </w:t>
      </w:r>
      <w:proofErr w:type="spellStart"/>
      <w:r>
        <w:rPr>
          <w:color w:val="FF0000"/>
          <w:lang w:val="en-US"/>
        </w:rPr>
        <w:t>PsA</w:t>
      </w:r>
      <w:proofErr w:type="spellEnd"/>
      <w:r>
        <w:rPr>
          <w:color w:val="FF0000"/>
          <w:lang w:val="en-US"/>
        </w:rPr>
        <w:t xml:space="preserve"> GWAS), and only the </w:t>
      </w:r>
      <w:r w:rsidRPr="00E846E0">
        <w:rPr>
          <w:i/>
          <w:color w:val="FF0000"/>
          <w:lang w:val="en-US"/>
        </w:rPr>
        <w:t xml:space="preserve">PTPN22 </w:t>
      </w:r>
      <w:r>
        <w:rPr>
          <w:color w:val="FF0000"/>
          <w:lang w:val="en-US"/>
        </w:rPr>
        <w:t xml:space="preserve">locus reached nominal stronger association in </w:t>
      </w:r>
      <w:proofErr w:type="spellStart"/>
      <w:r>
        <w:rPr>
          <w:color w:val="FF0000"/>
          <w:lang w:val="en-US"/>
        </w:rPr>
        <w:t>PsA</w:t>
      </w:r>
      <w:proofErr w:type="spellEnd"/>
      <w:r>
        <w:rPr>
          <w:color w:val="FF0000"/>
          <w:lang w:val="en-US"/>
        </w:rPr>
        <w:t xml:space="preserve"> (Stuart et al. 2015). The latest phenotype-specific association analysis published by Patrick and colleagues in 2018 has increased the number of genome-wide association with </w:t>
      </w:r>
      <w:proofErr w:type="spellStart"/>
      <w:r>
        <w:rPr>
          <w:color w:val="FF0000"/>
          <w:lang w:val="en-US"/>
        </w:rPr>
        <w:t>PsA</w:t>
      </w:r>
      <w:proofErr w:type="spellEnd"/>
      <w:r>
        <w:rPr>
          <w:color w:val="FF0000"/>
          <w:lang w:val="en-US"/>
        </w:rPr>
        <w:t xml:space="preserve"> and cutaneous psoriasis to thirteen and fifteen, respectively, with all of these loci previously identified as psoriasis associated (Patrick et al. 2018).</w:t>
      </w:r>
    </w:p>
    <w:p w14:paraId="49D1505A" w14:textId="77777777" w:rsidR="00126549" w:rsidRDefault="00126549" w:rsidP="00126549">
      <w:pPr>
        <w:autoSpaceDE w:val="0"/>
        <w:autoSpaceDN w:val="0"/>
        <w:adjustRightInd w:val="0"/>
        <w:jc w:val="both"/>
        <w:rPr>
          <w:color w:val="0070C0"/>
        </w:rPr>
      </w:pPr>
    </w:p>
    <w:p w14:paraId="7E047BA9" w14:textId="77777777" w:rsidR="00126549" w:rsidRPr="009615EA" w:rsidRDefault="00126549" w:rsidP="00126549">
      <w:pPr>
        <w:autoSpaceDE w:val="0"/>
        <w:autoSpaceDN w:val="0"/>
        <w:adjustRightInd w:val="0"/>
        <w:jc w:val="both"/>
        <w:rPr>
          <w:b/>
          <w:color w:val="FF0000"/>
          <w:lang w:val="en-US"/>
        </w:rPr>
      </w:pPr>
      <w:r w:rsidRPr="009615EA">
        <w:rPr>
          <w:b/>
          <w:color w:val="FF0000"/>
          <w:lang w:val="en-US"/>
        </w:rPr>
        <w:t xml:space="preserve">Differences in the MHC associations between psoriasis and </w:t>
      </w:r>
      <w:proofErr w:type="spellStart"/>
      <w:r w:rsidRPr="009615EA">
        <w:rPr>
          <w:b/>
          <w:color w:val="FF0000"/>
          <w:lang w:val="en-US"/>
        </w:rPr>
        <w:t>PsA</w:t>
      </w:r>
      <w:proofErr w:type="spellEnd"/>
    </w:p>
    <w:p w14:paraId="0D0902FA" w14:textId="77777777" w:rsidR="00126549" w:rsidRDefault="00126549" w:rsidP="00126549">
      <w:pPr>
        <w:autoSpaceDE w:val="0"/>
        <w:autoSpaceDN w:val="0"/>
        <w:adjustRightInd w:val="0"/>
        <w:jc w:val="both"/>
        <w:rPr>
          <w:color w:val="FF0000"/>
          <w:lang w:val="en-US"/>
        </w:rPr>
      </w:pPr>
      <w:r>
        <w:rPr>
          <w:color w:val="FF0000"/>
          <w:lang w:val="en-US"/>
        </w:rPr>
        <w:t xml:space="preserve">Regarding MHC associations with psoriasis, </w:t>
      </w:r>
      <w:r w:rsidRPr="00E846E0">
        <w:rPr>
          <w:i/>
          <w:color w:val="FF0000"/>
          <w:lang w:val="en-US"/>
        </w:rPr>
        <w:t>HLA-</w:t>
      </w:r>
      <w:proofErr w:type="spellStart"/>
      <w:r w:rsidRPr="00E846E0">
        <w:rPr>
          <w:i/>
          <w:color w:val="FF0000"/>
          <w:lang w:val="en-US"/>
        </w:rPr>
        <w:t>Cw</w:t>
      </w:r>
      <w:proofErr w:type="spellEnd"/>
      <w:r w:rsidRPr="00E846E0">
        <w:rPr>
          <w:i/>
          <w:color w:val="FF0000"/>
          <w:lang w:val="en-US"/>
        </w:rPr>
        <w:t>*06:02</w:t>
      </w:r>
      <w:r>
        <w:rPr>
          <w:color w:val="FF0000"/>
          <w:lang w:val="en-US"/>
        </w:rPr>
        <w:t xml:space="preserve"> has been consistently identified as the most significantly associated locus with the greatest effect size in psoriasis and also in independent analysis of cutaneous psoriasis and </w:t>
      </w:r>
      <w:proofErr w:type="spellStart"/>
      <w:r>
        <w:rPr>
          <w:color w:val="FF0000"/>
          <w:lang w:val="en-US"/>
        </w:rPr>
        <w:t>PsA</w:t>
      </w:r>
      <w:proofErr w:type="spellEnd"/>
      <w:r>
        <w:rPr>
          <w:color w:val="FF0000"/>
          <w:lang w:val="en-US"/>
        </w:rPr>
        <w:t xml:space="preserve"> compared to controls (Okada et al.  2014;</w:t>
      </w:r>
      <w:r w:rsidRPr="009615EA">
        <w:rPr>
          <w:color w:val="FF0000"/>
          <w:lang w:val="en-US"/>
        </w:rPr>
        <w:t xml:space="preserve"> </w:t>
      </w:r>
      <w:r>
        <w:rPr>
          <w:color w:val="FF0000"/>
          <w:lang w:val="en-US"/>
        </w:rPr>
        <w:t xml:space="preserve">Bowes et al. 2015b; Stuart et al. 2015). Step-wise conditional analysis has revealed additional HLA-I and HLA-II associations, including </w:t>
      </w:r>
      <w:r w:rsidRPr="002472A7">
        <w:rPr>
          <w:i/>
          <w:color w:val="FF0000"/>
          <w:lang w:val="en-US"/>
        </w:rPr>
        <w:t>HLA-C*12:03</w:t>
      </w:r>
      <w:r>
        <w:rPr>
          <w:color w:val="FF0000"/>
          <w:lang w:val="en-US"/>
        </w:rPr>
        <w:t xml:space="preserve">, HLA-B amino acid positions 67 and 9, HLA-A amino acid position 95, and HLA-DQA1 amino acid position 53, with similar results found in the independent analysis of cutaneous psoriasis and </w:t>
      </w:r>
      <w:proofErr w:type="spellStart"/>
      <w:r>
        <w:rPr>
          <w:color w:val="FF0000"/>
          <w:lang w:val="en-US"/>
        </w:rPr>
        <w:t>PsA</w:t>
      </w:r>
      <w:proofErr w:type="spellEnd"/>
      <w:r>
        <w:rPr>
          <w:color w:val="FF0000"/>
          <w:lang w:val="en-US"/>
        </w:rPr>
        <w:t xml:space="preserve"> compared to controls (Okada et al. 2014; Bowes et al. 2015b).</w:t>
      </w:r>
    </w:p>
    <w:p w14:paraId="2DC3D89C" w14:textId="77777777" w:rsidR="00126549" w:rsidRDefault="00126549" w:rsidP="00126549">
      <w:pPr>
        <w:autoSpaceDE w:val="0"/>
        <w:autoSpaceDN w:val="0"/>
        <w:adjustRightInd w:val="0"/>
        <w:jc w:val="both"/>
        <w:rPr>
          <w:color w:val="FF0000"/>
          <w:lang w:val="en-US"/>
        </w:rPr>
      </w:pPr>
    </w:p>
    <w:p w14:paraId="4D599D75" w14:textId="39C66369" w:rsidR="00126549" w:rsidRDefault="00126549" w:rsidP="00126549">
      <w:pPr>
        <w:autoSpaceDE w:val="0"/>
        <w:autoSpaceDN w:val="0"/>
        <w:adjustRightInd w:val="0"/>
        <w:jc w:val="both"/>
        <w:rPr>
          <w:color w:val="FF0000"/>
          <w:lang w:val="en-US"/>
        </w:rPr>
      </w:pPr>
      <w:r>
        <w:rPr>
          <w:color w:val="FF0000"/>
          <w:lang w:val="en-US"/>
        </w:rPr>
        <w:t>Dissecting the HLA-</w:t>
      </w:r>
      <w:proofErr w:type="spellStart"/>
      <w:r>
        <w:rPr>
          <w:color w:val="FF0000"/>
          <w:lang w:val="en-US"/>
        </w:rPr>
        <w:t>Cw</w:t>
      </w:r>
      <w:proofErr w:type="spellEnd"/>
      <w:r>
        <w:rPr>
          <w:color w:val="FF0000"/>
          <w:lang w:val="en-US"/>
        </w:rPr>
        <w:t xml:space="preserve">*06:02 association in psoriasis and </w:t>
      </w:r>
      <w:proofErr w:type="spellStart"/>
      <w:r>
        <w:rPr>
          <w:color w:val="FF0000"/>
          <w:lang w:val="en-US"/>
        </w:rPr>
        <w:t>PsA</w:t>
      </w:r>
      <w:proofErr w:type="spellEnd"/>
      <w:r>
        <w:rPr>
          <w:color w:val="FF0000"/>
          <w:lang w:val="en-US"/>
        </w:rPr>
        <w:t xml:space="preserve"> has remained challenging. </w:t>
      </w:r>
      <w:r w:rsidRPr="002472A7">
        <w:rPr>
          <w:i/>
          <w:color w:val="FF0000"/>
          <w:lang w:val="en-US"/>
        </w:rPr>
        <w:t>HLA-</w:t>
      </w:r>
      <w:proofErr w:type="spellStart"/>
      <w:r w:rsidRPr="002472A7">
        <w:rPr>
          <w:i/>
          <w:color w:val="FF0000"/>
          <w:lang w:val="en-US"/>
        </w:rPr>
        <w:t>Cw</w:t>
      </w:r>
      <w:proofErr w:type="spellEnd"/>
      <w:r w:rsidRPr="002472A7">
        <w:rPr>
          <w:i/>
          <w:color w:val="FF0000"/>
          <w:lang w:val="en-US"/>
        </w:rPr>
        <w:t>*06:02</w:t>
      </w:r>
      <w:r>
        <w:rPr>
          <w:color w:val="FF0000"/>
          <w:lang w:val="en-US"/>
        </w:rPr>
        <w:t xml:space="preserve"> has been demonstrated to increase risk of </w:t>
      </w:r>
      <w:proofErr w:type="spellStart"/>
      <w:r>
        <w:rPr>
          <w:color w:val="FF0000"/>
          <w:lang w:val="en-US"/>
        </w:rPr>
        <w:t>PsA</w:t>
      </w:r>
      <w:proofErr w:type="spellEnd"/>
      <w:r>
        <w:rPr>
          <w:color w:val="FF0000"/>
          <w:lang w:val="en-US"/>
        </w:rPr>
        <w:t xml:space="preserve"> when compared to controls. However, in the comparison between cutaneous psoriasis and </w:t>
      </w:r>
      <w:proofErr w:type="spellStart"/>
      <w:r>
        <w:rPr>
          <w:color w:val="FF0000"/>
          <w:lang w:val="en-US"/>
        </w:rPr>
        <w:t>PsA</w:t>
      </w:r>
      <w:proofErr w:type="spellEnd"/>
      <w:r>
        <w:rPr>
          <w:color w:val="FF0000"/>
          <w:lang w:val="en-US"/>
        </w:rPr>
        <w:t xml:space="preserve"> </w:t>
      </w:r>
      <w:r w:rsidRPr="002472A7">
        <w:rPr>
          <w:i/>
          <w:color w:val="FF0000"/>
          <w:lang w:val="en-US"/>
        </w:rPr>
        <w:t>HLA-</w:t>
      </w:r>
      <w:proofErr w:type="spellStart"/>
      <w:r w:rsidRPr="002472A7">
        <w:rPr>
          <w:i/>
          <w:color w:val="FF0000"/>
          <w:lang w:val="en-US"/>
        </w:rPr>
        <w:t>Cw</w:t>
      </w:r>
      <w:proofErr w:type="spellEnd"/>
      <w:r w:rsidRPr="002472A7">
        <w:rPr>
          <w:i/>
          <w:color w:val="FF0000"/>
          <w:lang w:val="en-US"/>
        </w:rPr>
        <w:t>*06:02</w:t>
      </w:r>
      <w:r>
        <w:rPr>
          <w:color w:val="FF0000"/>
          <w:lang w:val="en-US"/>
        </w:rPr>
        <w:t xml:space="preserve"> appeared as more strongly associated with cutaneous psoriasis and showed a protective effect for </w:t>
      </w:r>
      <w:proofErr w:type="spellStart"/>
      <w:r>
        <w:rPr>
          <w:color w:val="FF0000"/>
          <w:lang w:val="en-US"/>
        </w:rPr>
        <w:t>PsA</w:t>
      </w:r>
      <w:proofErr w:type="spellEnd"/>
      <w:r>
        <w:rPr>
          <w:color w:val="FF0000"/>
          <w:lang w:val="en-US"/>
        </w:rPr>
        <w:t xml:space="preserve"> within psoriasis (Whinchester2012; Eder et al. 2012; Stuart et al. 2015). Since </w:t>
      </w:r>
      <w:r w:rsidRPr="002472A7">
        <w:rPr>
          <w:i/>
          <w:color w:val="FF0000"/>
          <w:lang w:val="en-US"/>
        </w:rPr>
        <w:t>HLA-</w:t>
      </w:r>
      <w:proofErr w:type="spellStart"/>
      <w:r w:rsidRPr="002472A7">
        <w:rPr>
          <w:i/>
          <w:color w:val="FF0000"/>
          <w:lang w:val="en-US"/>
        </w:rPr>
        <w:t>Cw</w:t>
      </w:r>
      <w:proofErr w:type="spellEnd"/>
      <w:r w:rsidRPr="002472A7">
        <w:rPr>
          <w:i/>
          <w:color w:val="FF0000"/>
          <w:lang w:val="en-US"/>
        </w:rPr>
        <w:t>*06:02</w:t>
      </w:r>
      <w:r>
        <w:rPr>
          <w:color w:val="FF0000"/>
          <w:lang w:val="en-US"/>
        </w:rPr>
        <w:t xml:space="preserve"> is </w:t>
      </w:r>
      <w:r w:rsidR="00C7405C">
        <w:rPr>
          <w:color w:val="FF0000"/>
          <w:lang w:val="en-US"/>
        </w:rPr>
        <w:t xml:space="preserve">also </w:t>
      </w:r>
      <w:r>
        <w:rPr>
          <w:color w:val="FF0000"/>
          <w:lang w:val="en-US"/>
        </w:rPr>
        <w:t xml:space="preserve">associated with earlier age of onset in psoriasis, accounting for age of onset in the comparison of cutaneous psoriasis vs </w:t>
      </w:r>
      <w:proofErr w:type="spellStart"/>
      <w:r>
        <w:rPr>
          <w:color w:val="FF0000"/>
          <w:lang w:val="en-US"/>
        </w:rPr>
        <w:t>PsA</w:t>
      </w:r>
      <w:proofErr w:type="spellEnd"/>
      <w:r>
        <w:rPr>
          <w:color w:val="FF0000"/>
          <w:lang w:val="en-US"/>
        </w:rPr>
        <w:t xml:space="preserve"> </w:t>
      </w:r>
      <w:r w:rsidRPr="002472A7">
        <w:rPr>
          <w:i/>
          <w:color w:val="FF0000"/>
          <w:lang w:val="en-US"/>
        </w:rPr>
        <w:t>HLA-</w:t>
      </w:r>
      <w:proofErr w:type="spellStart"/>
      <w:r w:rsidRPr="002472A7">
        <w:rPr>
          <w:i/>
          <w:color w:val="FF0000"/>
          <w:lang w:val="en-US"/>
        </w:rPr>
        <w:t>Cw</w:t>
      </w:r>
      <w:proofErr w:type="spellEnd"/>
      <w:r w:rsidRPr="002472A7">
        <w:rPr>
          <w:i/>
          <w:color w:val="FF0000"/>
          <w:lang w:val="en-US"/>
        </w:rPr>
        <w:t>*06:02</w:t>
      </w:r>
      <w:r>
        <w:rPr>
          <w:color w:val="FF0000"/>
          <w:lang w:val="en-US"/>
        </w:rPr>
        <w:t xml:space="preserve"> did not show protective association in </w:t>
      </w:r>
      <w:proofErr w:type="spellStart"/>
      <w:r>
        <w:rPr>
          <w:color w:val="FF0000"/>
          <w:lang w:val="en-US"/>
        </w:rPr>
        <w:t>PsA</w:t>
      </w:r>
      <w:proofErr w:type="spellEnd"/>
      <w:r>
        <w:rPr>
          <w:color w:val="FF0000"/>
          <w:lang w:val="en-US"/>
        </w:rPr>
        <w:t xml:space="preserve"> (Bowes et al. 2017). Instead the most significant MHC association when comparing </w:t>
      </w:r>
      <w:r>
        <w:rPr>
          <w:color w:val="FF0000"/>
          <w:lang w:val="en-US"/>
        </w:rPr>
        <w:lastRenderedPageBreak/>
        <w:t xml:space="preserve">both phenotypes was HLA-B </w:t>
      </w:r>
      <w:proofErr w:type="spellStart"/>
      <w:r>
        <w:rPr>
          <w:color w:val="FF0000"/>
          <w:lang w:val="en-US"/>
        </w:rPr>
        <w:t>aminoaci</w:t>
      </w:r>
      <w:r w:rsidR="000C6ADE">
        <w:rPr>
          <w:color w:val="FF0000"/>
          <w:lang w:val="en-US"/>
        </w:rPr>
        <w:t>d</w:t>
      </w:r>
      <w:proofErr w:type="spellEnd"/>
      <w:r>
        <w:rPr>
          <w:color w:val="FF0000"/>
          <w:lang w:val="en-US"/>
        </w:rPr>
        <w:t xml:space="preserve"> 97 (asparagine, mostly found in HLA-B27), which differentiated </w:t>
      </w:r>
      <w:proofErr w:type="spellStart"/>
      <w:r>
        <w:rPr>
          <w:color w:val="FF0000"/>
          <w:lang w:val="en-US"/>
        </w:rPr>
        <w:t>PsA</w:t>
      </w:r>
      <w:proofErr w:type="spellEnd"/>
      <w:r>
        <w:rPr>
          <w:color w:val="FF0000"/>
          <w:lang w:val="en-US"/>
        </w:rPr>
        <w:t xml:space="preserve"> from cutaneous psoriasis (Bowes et al. 2017).</w:t>
      </w:r>
    </w:p>
    <w:p w14:paraId="01FA619B" w14:textId="77777777" w:rsidR="00126549" w:rsidRDefault="00126549" w:rsidP="00126549">
      <w:pPr>
        <w:autoSpaceDE w:val="0"/>
        <w:autoSpaceDN w:val="0"/>
        <w:adjustRightInd w:val="0"/>
        <w:jc w:val="both"/>
        <w:rPr>
          <w:color w:val="FF0000"/>
          <w:lang w:val="en-US"/>
        </w:rPr>
      </w:pPr>
    </w:p>
    <w:p w14:paraId="7D7F3173" w14:textId="47359C59" w:rsidR="00126549" w:rsidRPr="00E31569" w:rsidRDefault="00126549" w:rsidP="00126549">
      <w:pPr>
        <w:autoSpaceDE w:val="0"/>
        <w:autoSpaceDN w:val="0"/>
        <w:adjustRightInd w:val="0"/>
        <w:jc w:val="both"/>
        <w:rPr>
          <w:rFonts w:asciiTheme="minorHAnsi" w:hAnsiTheme="minorHAnsi" w:cstheme="minorBidi"/>
          <w:color w:val="0070C0"/>
        </w:rPr>
      </w:pPr>
      <w:r>
        <w:rPr>
          <w:color w:val="FF0000"/>
          <w:lang w:val="en-US"/>
        </w:rPr>
        <w:t xml:space="preserve">Overall, GWAS have demonstrated shared and distinct genetic architectures in MHC and non-MHC loci between cutaneous psoriasis and </w:t>
      </w:r>
      <w:proofErr w:type="spellStart"/>
      <w:r>
        <w:rPr>
          <w:color w:val="FF0000"/>
          <w:lang w:val="en-US"/>
        </w:rPr>
        <w:t>PsA</w:t>
      </w:r>
      <w:proofErr w:type="spellEnd"/>
      <w:r>
        <w:rPr>
          <w:color w:val="FF0000"/>
          <w:lang w:val="en-US"/>
        </w:rPr>
        <w:t>, adding a layer of complexity in the understanding of the similarities and differences bet</w:t>
      </w:r>
      <w:r w:rsidR="002472A7">
        <w:rPr>
          <w:color w:val="FF0000"/>
          <w:lang w:val="en-US"/>
        </w:rPr>
        <w:t>w</w:t>
      </w:r>
      <w:r>
        <w:rPr>
          <w:color w:val="FF0000"/>
          <w:lang w:val="en-US"/>
        </w:rPr>
        <w:t>een the two pathologies.”</w:t>
      </w:r>
    </w:p>
    <w:p w14:paraId="76BA904E" w14:textId="6738119B" w:rsidR="00B75874" w:rsidRPr="00B75874" w:rsidRDefault="00B75874" w:rsidP="00B75874">
      <w:pPr>
        <w:autoSpaceDE w:val="0"/>
        <w:autoSpaceDN w:val="0"/>
        <w:adjustRightInd w:val="0"/>
        <w:jc w:val="both"/>
        <w:rPr>
          <w:color w:val="0070C0"/>
          <w:lang w:val="en-US"/>
        </w:rPr>
      </w:pPr>
    </w:p>
    <w:p w14:paraId="0124374F" w14:textId="2A4578AD" w:rsidR="00B75874" w:rsidRPr="00B75874" w:rsidRDefault="00B75874" w:rsidP="00B75874">
      <w:pPr>
        <w:tabs>
          <w:tab w:val="left" w:pos="284"/>
        </w:tabs>
        <w:jc w:val="both"/>
        <w:rPr>
          <w:color w:val="0070C0"/>
          <w:lang w:val="en-US"/>
        </w:rPr>
      </w:pPr>
    </w:p>
    <w:p w14:paraId="4D98495F" w14:textId="77777777" w:rsidR="006E2C58" w:rsidRPr="00B75874" w:rsidRDefault="006E2C58" w:rsidP="006E2C58">
      <w:pPr>
        <w:tabs>
          <w:tab w:val="left" w:pos="284"/>
        </w:tabs>
        <w:jc w:val="both"/>
        <w:rPr>
          <w:color w:val="0070C0"/>
          <w:lang w:val="en-US"/>
        </w:rPr>
      </w:pPr>
    </w:p>
    <w:p w14:paraId="664390A2" w14:textId="77777777" w:rsidR="006E2C58" w:rsidRPr="006E2C58" w:rsidRDefault="006E2C58" w:rsidP="006E2C58">
      <w:pPr>
        <w:tabs>
          <w:tab w:val="left" w:pos="284"/>
        </w:tabs>
        <w:jc w:val="both"/>
        <w:rPr>
          <w:b/>
          <w:sz w:val="28"/>
          <w:szCs w:val="28"/>
        </w:rPr>
      </w:pPr>
    </w:p>
    <w:p w14:paraId="35FF03D2" w14:textId="17175B73" w:rsidR="00922F32" w:rsidRDefault="00D709D1" w:rsidP="00922F32">
      <w:pPr>
        <w:pStyle w:val="ListParagraph"/>
        <w:numPr>
          <w:ilvl w:val="0"/>
          <w:numId w:val="1"/>
        </w:numPr>
        <w:tabs>
          <w:tab w:val="left" w:pos="284"/>
        </w:tabs>
        <w:ind w:left="0" w:firstLine="0"/>
        <w:jc w:val="both"/>
        <w:rPr>
          <w:b/>
          <w:sz w:val="28"/>
          <w:szCs w:val="28"/>
        </w:rPr>
      </w:pPr>
      <w:r w:rsidRPr="00D709D1">
        <w:rPr>
          <w:b/>
          <w:sz w:val="28"/>
          <w:szCs w:val="28"/>
        </w:rPr>
        <w:t>In the section on missing heritability, how polygenic risk scores may capture some of this could be included.</w:t>
      </w:r>
    </w:p>
    <w:p w14:paraId="761C0BF6" w14:textId="77777777" w:rsidR="00922F32" w:rsidRPr="00922F32" w:rsidRDefault="00922F32" w:rsidP="00922F32">
      <w:pPr>
        <w:pStyle w:val="ListParagraph"/>
        <w:tabs>
          <w:tab w:val="left" w:pos="284"/>
        </w:tabs>
        <w:ind w:left="0"/>
        <w:jc w:val="both"/>
        <w:rPr>
          <w:b/>
          <w:sz w:val="28"/>
          <w:szCs w:val="28"/>
        </w:rPr>
      </w:pPr>
    </w:p>
    <w:p w14:paraId="1B6BD22D" w14:textId="4A48DF94" w:rsidR="006E2C58" w:rsidRDefault="00922F32" w:rsidP="006E2C58">
      <w:pPr>
        <w:tabs>
          <w:tab w:val="left" w:pos="284"/>
        </w:tabs>
        <w:jc w:val="both"/>
        <w:rPr>
          <w:color w:val="000000" w:themeColor="text1"/>
        </w:rPr>
      </w:pPr>
      <w:r>
        <w:rPr>
          <w:color w:val="000000" w:themeColor="text1"/>
        </w:rPr>
        <w:t xml:space="preserve">In </w:t>
      </w:r>
      <w:r w:rsidR="00E57853">
        <w:rPr>
          <w:color w:val="000000" w:themeColor="text1"/>
        </w:rPr>
        <w:t xml:space="preserve">Chapter 1 </w:t>
      </w:r>
      <w:r>
        <w:rPr>
          <w:color w:val="000000" w:themeColor="text1"/>
        </w:rPr>
        <w:t>subsection 1.3.5</w:t>
      </w:r>
      <w:r w:rsidR="00E57853">
        <w:rPr>
          <w:color w:val="000000" w:themeColor="text1"/>
        </w:rPr>
        <w:t>:</w:t>
      </w:r>
      <w:r>
        <w:rPr>
          <w:color w:val="000000" w:themeColor="text1"/>
        </w:rPr>
        <w:t xml:space="preserve"> Limitations of GWAS, I have added a paragraph explaining the use of polygenic risk scores to capture some of the missing heritability and the use of polygenic risk scores to </w:t>
      </w:r>
      <w:proofErr w:type="gramStart"/>
      <w:r>
        <w:rPr>
          <w:color w:val="000000" w:themeColor="text1"/>
        </w:rPr>
        <w:t xml:space="preserve">assess  </w:t>
      </w:r>
      <w:proofErr w:type="spellStart"/>
      <w:r>
        <w:rPr>
          <w:color w:val="000000" w:themeColor="text1"/>
        </w:rPr>
        <w:t>PsA</w:t>
      </w:r>
      <w:proofErr w:type="spellEnd"/>
      <w:proofErr w:type="gramEnd"/>
      <w:r>
        <w:rPr>
          <w:color w:val="000000" w:themeColor="text1"/>
        </w:rPr>
        <w:t xml:space="preserve"> risk in psoriasis patients.</w:t>
      </w:r>
    </w:p>
    <w:p w14:paraId="04502048" w14:textId="10F312D8" w:rsidR="00922F32" w:rsidRDefault="00922F32" w:rsidP="006E2C58">
      <w:pPr>
        <w:tabs>
          <w:tab w:val="left" w:pos="284"/>
        </w:tabs>
        <w:jc w:val="both"/>
        <w:rPr>
          <w:b/>
          <w:sz w:val="28"/>
          <w:szCs w:val="28"/>
        </w:rPr>
      </w:pPr>
    </w:p>
    <w:p w14:paraId="5826B425" w14:textId="4837E0CC" w:rsidR="00922F32" w:rsidRPr="000D0B61" w:rsidRDefault="000D0B61" w:rsidP="000D0B61">
      <w:pPr>
        <w:autoSpaceDE w:val="0"/>
        <w:autoSpaceDN w:val="0"/>
        <w:adjustRightInd w:val="0"/>
        <w:jc w:val="both"/>
        <w:rPr>
          <w:color w:val="FF0000"/>
          <w:lang w:val="en-US"/>
        </w:rPr>
      </w:pPr>
      <w:r w:rsidRPr="000D0B61">
        <w:rPr>
          <w:color w:val="FF0000"/>
          <w:lang w:val="en-US"/>
        </w:rPr>
        <w:t xml:space="preserve">New: “To overcome the need of increasingly larger cohorts, the calculation of genome-wide polygenic risk scores making use of existing GWAS data has started to be implemented in the study of complex diseases. New methodologies for the calculation of polygenic risk scores leverage the aggregation of GWAS variants under the genome-wide significant threshold to predict the genetic liability of disease on the basis of an </w:t>
      </w:r>
      <w:proofErr w:type="spellStart"/>
      <w:proofErr w:type="gramStart"/>
      <w:r w:rsidRPr="000D0B61">
        <w:rPr>
          <w:color w:val="FF0000"/>
          <w:lang w:val="en-US"/>
        </w:rPr>
        <w:t>individuals</w:t>
      </w:r>
      <w:proofErr w:type="spellEnd"/>
      <w:proofErr w:type="gramEnd"/>
      <w:r w:rsidRPr="000D0B61">
        <w:rPr>
          <w:color w:val="FF0000"/>
          <w:lang w:val="en-US"/>
        </w:rPr>
        <w:t xml:space="preserve"> genotype and identify subgroups of the population at high risk (</w:t>
      </w:r>
      <w:proofErr w:type="spellStart"/>
      <w:r w:rsidRPr="000D0B61">
        <w:rPr>
          <w:color w:val="FF0000"/>
          <w:lang w:val="en-US"/>
        </w:rPr>
        <w:t>Khera</w:t>
      </w:r>
      <w:proofErr w:type="spellEnd"/>
      <w:r w:rsidRPr="000D0B61">
        <w:rPr>
          <w:color w:val="FF0000"/>
          <w:lang w:val="en-US"/>
        </w:rPr>
        <w:t xml:space="preserve"> et al. 2018). A validated genome-wide polygenic risk score across five common diseases has recently shown successful results in coronary artery disease, identifying 8% of the population at greater than three-fold increased risk (</w:t>
      </w:r>
      <w:proofErr w:type="spellStart"/>
      <w:r w:rsidRPr="000D0B61">
        <w:rPr>
          <w:color w:val="FF0000"/>
          <w:lang w:val="en-US"/>
        </w:rPr>
        <w:t>Khera</w:t>
      </w:r>
      <w:proofErr w:type="spellEnd"/>
      <w:r w:rsidRPr="000D0B61">
        <w:rPr>
          <w:color w:val="FF0000"/>
          <w:lang w:val="en-US"/>
        </w:rPr>
        <w:t xml:space="preserve"> et al. 2018). In psoriasis, a polygenic risk score based on 200 genetic markers has been developed to predict the risk of </w:t>
      </w:r>
      <w:proofErr w:type="spellStart"/>
      <w:r w:rsidRPr="000D0B61">
        <w:rPr>
          <w:color w:val="FF0000"/>
          <w:lang w:val="en-US"/>
        </w:rPr>
        <w:t>PsA</w:t>
      </w:r>
      <w:proofErr w:type="spellEnd"/>
      <w:r w:rsidRPr="000D0B61">
        <w:rPr>
          <w:color w:val="FF0000"/>
          <w:lang w:val="en-US"/>
        </w:rPr>
        <w:t xml:space="preserve"> amongst psoriasis patients, showing comparable accuracy (0.82) to that of polygenic risk scores used to discriminate IBD subtypes (Patrick et al. 2018).”</w:t>
      </w:r>
    </w:p>
    <w:p w14:paraId="43AC4291" w14:textId="12FDFA5B" w:rsidR="00922F32" w:rsidRDefault="00922F32" w:rsidP="006E2C58">
      <w:pPr>
        <w:tabs>
          <w:tab w:val="left" w:pos="284"/>
        </w:tabs>
        <w:jc w:val="both"/>
        <w:rPr>
          <w:b/>
          <w:sz w:val="28"/>
          <w:szCs w:val="28"/>
        </w:rPr>
      </w:pPr>
    </w:p>
    <w:p w14:paraId="347A2A7C" w14:textId="77777777" w:rsidR="009E4B32" w:rsidRPr="006E2C58" w:rsidRDefault="009E4B32" w:rsidP="006E2C58">
      <w:pPr>
        <w:tabs>
          <w:tab w:val="left" w:pos="284"/>
        </w:tabs>
        <w:jc w:val="both"/>
        <w:rPr>
          <w:b/>
          <w:sz w:val="28"/>
          <w:szCs w:val="28"/>
        </w:rPr>
      </w:pPr>
    </w:p>
    <w:p w14:paraId="126AC75E" w14:textId="3A722EA4" w:rsidR="00D709D1" w:rsidRDefault="00D709D1" w:rsidP="006E2C58">
      <w:pPr>
        <w:pStyle w:val="ListParagraph"/>
        <w:numPr>
          <w:ilvl w:val="0"/>
          <w:numId w:val="1"/>
        </w:numPr>
        <w:tabs>
          <w:tab w:val="left" w:pos="284"/>
        </w:tabs>
        <w:ind w:left="0" w:firstLine="0"/>
        <w:jc w:val="both"/>
        <w:rPr>
          <w:b/>
          <w:sz w:val="28"/>
          <w:szCs w:val="28"/>
        </w:rPr>
      </w:pPr>
      <w:r w:rsidRPr="00D709D1">
        <w:rPr>
          <w:b/>
          <w:sz w:val="28"/>
          <w:szCs w:val="28"/>
        </w:rPr>
        <w:t>Pros and cons of positive versus negative selection could be included.</w:t>
      </w:r>
    </w:p>
    <w:p w14:paraId="442DD27F" w14:textId="77777777" w:rsidR="0049262C" w:rsidRDefault="0049262C" w:rsidP="0049262C">
      <w:pPr>
        <w:autoSpaceDE w:val="0"/>
        <w:autoSpaceDN w:val="0"/>
        <w:adjustRightInd w:val="0"/>
        <w:rPr>
          <w:rFonts w:eastAsiaTheme="minorHAnsi"/>
          <w:color w:val="FF0000"/>
          <w:lang w:val="en-US"/>
        </w:rPr>
      </w:pPr>
    </w:p>
    <w:p w14:paraId="251AAAD3" w14:textId="150C8510" w:rsidR="0049262C" w:rsidRDefault="0049262C" w:rsidP="00297DF3">
      <w:pPr>
        <w:autoSpaceDE w:val="0"/>
        <w:autoSpaceDN w:val="0"/>
        <w:adjustRightInd w:val="0"/>
        <w:jc w:val="both"/>
        <w:rPr>
          <w:color w:val="000000" w:themeColor="text1"/>
        </w:rPr>
      </w:pPr>
      <w:r>
        <w:rPr>
          <w:color w:val="000000" w:themeColor="text1"/>
        </w:rPr>
        <w:t>In Chapter 2 subsection 2.2.4 I have added a paragraph explaining why positive selection using magnetic-labelled antibodies was chosen over depletion, the advantages of the positive selection approach (step-wise isolation of several populations and higher purity) and also some of the limitations (mainly activation of T cells).</w:t>
      </w:r>
    </w:p>
    <w:p w14:paraId="31D77A4B" w14:textId="77777777" w:rsidR="0049262C" w:rsidRDefault="0049262C" w:rsidP="0049262C">
      <w:pPr>
        <w:autoSpaceDE w:val="0"/>
        <w:autoSpaceDN w:val="0"/>
        <w:adjustRightInd w:val="0"/>
        <w:rPr>
          <w:rFonts w:eastAsiaTheme="minorHAnsi"/>
          <w:color w:val="FF0000"/>
          <w:lang w:val="en-US"/>
        </w:rPr>
      </w:pPr>
    </w:p>
    <w:p w14:paraId="067FBD0F" w14:textId="21BFC651" w:rsidR="003344A2" w:rsidRPr="0049262C" w:rsidRDefault="0049262C" w:rsidP="0049262C">
      <w:pPr>
        <w:autoSpaceDE w:val="0"/>
        <w:autoSpaceDN w:val="0"/>
        <w:adjustRightInd w:val="0"/>
        <w:jc w:val="both"/>
        <w:rPr>
          <w:b/>
          <w:sz w:val="28"/>
          <w:szCs w:val="28"/>
        </w:rPr>
      </w:pPr>
      <w:r w:rsidRPr="000D0B61">
        <w:rPr>
          <w:color w:val="FF0000"/>
          <w:lang w:val="en-US"/>
        </w:rPr>
        <w:t>New: “</w:t>
      </w:r>
      <w:r w:rsidRPr="0049262C">
        <w:rPr>
          <w:rFonts w:eastAsiaTheme="minorHAnsi"/>
          <w:color w:val="FF0000"/>
          <w:lang w:val="en-US"/>
        </w:rPr>
        <w:t>MACS separation was chosen over fluorescence-associated cell sorting</w:t>
      </w:r>
      <w:r>
        <w:rPr>
          <w:rFonts w:eastAsiaTheme="minorHAnsi"/>
          <w:color w:val="FF0000"/>
          <w:lang w:val="en-US"/>
        </w:rPr>
        <w:t xml:space="preserve"> </w:t>
      </w:r>
      <w:r w:rsidRPr="0049262C">
        <w:rPr>
          <w:rFonts w:eastAsiaTheme="minorHAnsi"/>
          <w:color w:val="FF0000"/>
          <w:lang w:val="en-US"/>
        </w:rPr>
        <w:t>(FACS) due to time and logistic constraints during sample processing</w:t>
      </w:r>
      <w:r>
        <w:rPr>
          <w:rFonts w:eastAsiaTheme="minorHAnsi"/>
          <w:color w:val="FF0000"/>
          <w:lang w:val="en-US"/>
        </w:rPr>
        <w:t xml:space="preserve">. Moreover, MACS </w:t>
      </w:r>
      <w:r w:rsidRPr="0049262C">
        <w:rPr>
          <w:rFonts w:eastAsiaTheme="minorHAnsi"/>
          <w:color w:val="FF0000"/>
          <w:lang w:val="en-US"/>
        </w:rPr>
        <w:t>positive selection was preferred over depletion as it allowed step-wise</w:t>
      </w:r>
      <w:r>
        <w:rPr>
          <w:rFonts w:eastAsiaTheme="minorHAnsi"/>
          <w:color w:val="FF0000"/>
          <w:lang w:val="en-US"/>
        </w:rPr>
        <w:t xml:space="preserve"> </w:t>
      </w:r>
      <w:r w:rsidRPr="0049262C">
        <w:rPr>
          <w:rFonts w:eastAsiaTheme="minorHAnsi"/>
          <w:color w:val="FF0000"/>
          <w:lang w:val="en-US"/>
        </w:rPr>
        <w:t>isolation of the four cell populations of interest with an</w:t>
      </w:r>
      <w:r>
        <w:rPr>
          <w:rFonts w:eastAsiaTheme="minorHAnsi"/>
          <w:color w:val="FF0000"/>
          <w:lang w:val="en-US"/>
        </w:rPr>
        <w:t xml:space="preserve"> </w:t>
      </w:r>
      <w:r w:rsidRPr="0049262C">
        <w:rPr>
          <w:rFonts w:eastAsiaTheme="minorHAnsi"/>
          <w:color w:val="FF0000"/>
          <w:lang w:val="en-US"/>
        </w:rPr>
        <w:t>expected purity of</w:t>
      </w:r>
      <w:r>
        <w:rPr>
          <w:rFonts w:eastAsiaTheme="minorHAnsi"/>
          <w:color w:val="FF0000"/>
          <w:lang w:val="en-US"/>
        </w:rPr>
        <w:t xml:space="preserve"> </w:t>
      </w:r>
      <w:r w:rsidRPr="0049262C">
        <w:rPr>
          <w:rFonts w:eastAsiaTheme="minorHAnsi"/>
          <w:color w:val="FF0000"/>
          <w:lang w:val="en-US"/>
        </w:rPr>
        <w:t>approximately 99%. Nevertheless, using positive selection with antibodies</w:t>
      </w:r>
      <w:r>
        <w:rPr>
          <w:rFonts w:eastAsiaTheme="minorHAnsi"/>
          <w:color w:val="FF0000"/>
          <w:lang w:val="en-US"/>
        </w:rPr>
        <w:t xml:space="preserve"> </w:t>
      </w:r>
      <w:r w:rsidRPr="0049262C">
        <w:rPr>
          <w:rFonts w:eastAsiaTheme="minorHAnsi"/>
          <w:color w:val="FF0000"/>
          <w:lang w:val="en-US"/>
        </w:rPr>
        <w:t>targeting CD4 and CD8 can cause T cell activation to some extent as both</w:t>
      </w:r>
      <w:r>
        <w:rPr>
          <w:rFonts w:eastAsiaTheme="minorHAnsi"/>
          <w:color w:val="FF0000"/>
          <w:lang w:val="en-US"/>
        </w:rPr>
        <w:t xml:space="preserve"> </w:t>
      </w:r>
      <w:r w:rsidRPr="0049262C">
        <w:rPr>
          <w:rFonts w:eastAsiaTheme="minorHAnsi"/>
          <w:color w:val="FF0000"/>
          <w:lang w:val="en-US"/>
        </w:rPr>
        <w:t>surface markers are co-receptors involved in the recognition by the T cell</w:t>
      </w:r>
      <w:r>
        <w:rPr>
          <w:rFonts w:eastAsiaTheme="minorHAnsi"/>
          <w:color w:val="FF0000"/>
          <w:lang w:val="en-US"/>
        </w:rPr>
        <w:t xml:space="preserve"> </w:t>
      </w:r>
      <w:r w:rsidRPr="0049262C">
        <w:rPr>
          <w:rFonts w:eastAsiaTheme="minorHAnsi"/>
          <w:color w:val="FF0000"/>
          <w:lang w:val="en-US"/>
        </w:rPr>
        <w:t>receptor (TCR) of antigens presented through MHC-I or MHC-II molecules,</w:t>
      </w:r>
      <w:r>
        <w:rPr>
          <w:rFonts w:eastAsiaTheme="minorHAnsi"/>
          <w:color w:val="FF0000"/>
          <w:lang w:val="en-US"/>
        </w:rPr>
        <w:t xml:space="preserve"> </w:t>
      </w:r>
      <w:r w:rsidRPr="0049262C">
        <w:rPr>
          <w:rFonts w:eastAsiaTheme="minorHAnsi"/>
          <w:color w:val="FF0000"/>
          <w:lang w:val="en-US"/>
        </w:rPr>
        <w:t xml:space="preserve">respectively. This </w:t>
      </w:r>
      <w:r>
        <w:rPr>
          <w:rFonts w:eastAsiaTheme="minorHAnsi"/>
          <w:color w:val="FF0000"/>
          <w:lang w:val="en-US"/>
        </w:rPr>
        <w:t>pre-activation is of particular relevance</w:t>
      </w:r>
      <w:r w:rsidRPr="0049262C">
        <w:rPr>
          <w:rFonts w:eastAsiaTheme="minorHAnsi"/>
          <w:color w:val="FF0000"/>
          <w:lang w:val="en-US"/>
        </w:rPr>
        <w:t xml:space="preserve"> when performing downstream cell</w:t>
      </w:r>
      <w:r>
        <w:rPr>
          <w:rFonts w:eastAsiaTheme="minorHAnsi"/>
          <w:color w:val="FF0000"/>
          <w:lang w:val="en-US"/>
        </w:rPr>
        <w:t xml:space="preserve"> </w:t>
      </w:r>
      <w:r w:rsidRPr="0049262C">
        <w:rPr>
          <w:rFonts w:eastAsiaTheme="minorHAnsi"/>
          <w:color w:val="FF0000"/>
          <w:lang w:val="en-US"/>
        </w:rPr>
        <w:t>culture and assays.</w:t>
      </w:r>
      <w:r>
        <w:rPr>
          <w:rFonts w:eastAsiaTheme="minorHAnsi"/>
          <w:color w:val="FF0000"/>
          <w:lang w:val="en-US"/>
        </w:rPr>
        <w:t>”</w:t>
      </w:r>
    </w:p>
    <w:p w14:paraId="49741CC0" w14:textId="39A98FED" w:rsidR="003344A2" w:rsidRDefault="003344A2" w:rsidP="003344A2">
      <w:pPr>
        <w:pStyle w:val="ListParagraph"/>
        <w:tabs>
          <w:tab w:val="left" w:pos="284"/>
        </w:tabs>
        <w:ind w:left="0"/>
        <w:jc w:val="both"/>
        <w:rPr>
          <w:b/>
          <w:sz w:val="28"/>
          <w:szCs w:val="28"/>
        </w:rPr>
      </w:pPr>
    </w:p>
    <w:p w14:paraId="0A164266" w14:textId="77777777" w:rsidR="009E4B32" w:rsidRPr="00D709D1" w:rsidRDefault="009E4B32" w:rsidP="003344A2">
      <w:pPr>
        <w:pStyle w:val="ListParagraph"/>
        <w:tabs>
          <w:tab w:val="left" w:pos="284"/>
        </w:tabs>
        <w:ind w:left="0"/>
        <w:jc w:val="both"/>
        <w:rPr>
          <w:b/>
          <w:sz w:val="28"/>
          <w:szCs w:val="28"/>
        </w:rPr>
      </w:pPr>
    </w:p>
    <w:p w14:paraId="0CCFD8CA" w14:textId="1CBC749C" w:rsidR="00B5748E" w:rsidRDefault="00D709D1" w:rsidP="00B5748E">
      <w:pPr>
        <w:pStyle w:val="ListParagraph"/>
        <w:numPr>
          <w:ilvl w:val="0"/>
          <w:numId w:val="1"/>
        </w:numPr>
        <w:tabs>
          <w:tab w:val="left" w:pos="284"/>
        </w:tabs>
        <w:ind w:left="0" w:firstLine="0"/>
        <w:jc w:val="both"/>
        <w:rPr>
          <w:b/>
          <w:sz w:val="28"/>
          <w:szCs w:val="28"/>
        </w:rPr>
      </w:pPr>
      <w:r w:rsidRPr="00D709D1">
        <w:rPr>
          <w:b/>
          <w:sz w:val="28"/>
          <w:szCs w:val="28"/>
        </w:rPr>
        <w:lastRenderedPageBreak/>
        <w:t>Some discussion about why peaks from CD4 cells always appear lower than CD14 could be included.</w:t>
      </w:r>
    </w:p>
    <w:p w14:paraId="04D23322" w14:textId="3886C3E4" w:rsidR="00B5748E" w:rsidRDefault="00B5748E" w:rsidP="00B5748E">
      <w:pPr>
        <w:tabs>
          <w:tab w:val="left" w:pos="284"/>
        </w:tabs>
        <w:jc w:val="both"/>
        <w:rPr>
          <w:b/>
          <w:sz w:val="28"/>
          <w:szCs w:val="28"/>
        </w:rPr>
      </w:pPr>
    </w:p>
    <w:p w14:paraId="1794ECF1" w14:textId="46C5B88B" w:rsidR="00297DF3" w:rsidRPr="003130AF" w:rsidRDefault="00297DF3" w:rsidP="003130AF">
      <w:pPr>
        <w:autoSpaceDE w:val="0"/>
        <w:autoSpaceDN w:val="0"/>
        <w:adjustRightInd w:val="0"/>
        <w:jc w:val="both"/>
        <w:rPr>
          <w:color w:val="000000" w:themeColor="text1"/>
        </w:rPr>
      </w:pPr>
      <w:r>
        <w:rPr>
          <w:color w:val="000000" w:themeColor="text1"/>
        </w:rPr>
        <w:t>I was a bit unsure about this suggested correction. The reason why in Figure 3.1 CD4</w:t>
      </w:r>
      <w:r w:rsidRPr="00297DF3">
        <w:rPr>
          <w:color w:val="000000" w:themeColor="text1"/>
          <w:vertAlign w:val="superscript"/>
        </w:rPr>
        <w:t>+</w:t>
      </w:r>
      <w:r>
        <w:rPr>
          <w:color w:val="000000" w:themeColor="text1"/>
        </w:rPr>
        <w:t xml:space="preserve"> T cell signal and peaks at the promoter of GAPDH and NOP2 genes (used as an example) are lower and less well-defined compare to the CD14</w:t>
      </w:r>
      <w:r w:rsidRPr="00297DF3">
        <w:rPr>
          <w:color w:val="000000" w:themeColor="text1"/>
          <w:vertAlign w:val="superscript"/>
        </w:rPr>
        <w:t>+</w:t>
      </w:r>
      <w:r>
        <w:rPr>
          <w:color w:val="000000" w:themeColor="text1"/>
        </w:rPr>
        <w:t xml:space="preserve"> ones is due to the lower CD4</w:t>
      </w:r>
      <w:r w:rsidRPr="00297DF3">
        <w:rPr>
          <w:color w:val="000000" w:themeColor="text1"/>
          <w:vertAlign w:val="superscript"/>
        </w:rPr>
        <w:t>+</w:t>
      </w:r>
      <w:r>
        <w:rPr>
          <w:color w:val="000000" w:themeColor="text1"/>
        </w:rPr>
        <w:t xml:space="preserve"> sample quality. Previously in the chapter, CD4</w:t>
      </w:r>
      <w:r w:rsidRPr="00297DF3">
        <w:rPr>
          <w:color w:val="000000" w:themeColor="text1"/>
          <w:vertAlign w:val="superscript"/>
        </w:rPr>
        <w:t>+</w:t>
      </w:r>
      <w:r>
        <w:rPr>
          <w:color w:val="000000" w:themeColor="text1"/>
        </w:rPr>
        <w:t xml:space="preserve"> T cells ATAC-</w:t>
      </w:r>
      <w:proofErr w:type="spellStart"/>
      <w:r>
        <w:rPr>
          <w:color w:val="000000" w:themeColor="text1"/>
        </w:rPr>
        <w:t>seq</w:t>
      </w:r>
      <w:proofErr w:type="spellEnd"/>
      <w:r>
        <w:rPr>
          <w:color w:val="000000" w:themeColor="text1"/>
        </w:rPr>
        <w:t xml:space="preserve"> libraries have been shown to have a lower sample quality in terms of signal-to-noise measures by enrichment of ATAC-</w:t>
      </w:r>
      <w:proofErr w:type="spellStart"/>
      <w:r>
        <w:rPr>
          <w:color w:val="000000" w:themeColor="text1"/>
        </w:rPr>
        <w:t>seq</w:t>
      </w:r>
      <w:proofErr w:type="spellEnd"/>
      <w:r>
        <w:rPr>
          <w:color w:val="000000" w:themeColor="text1"/>
        </w:rPr>
        <w:t xml:space="preserve"> reads across all the </w:t>
      </w:r>
      <w:proofErr w:type="spellStart"/>
      <w:r>
        <w:rPr>
          <w:color w:val="000000" w:themeColor="text1"/>
        </w:rPr>
        <w:t>Ensembl</w:t>
      </w:r>
      <w:proofErr w:type="spellEnd"/>
      <w:r>
        <w:rPr>
          <w:color w:val="000000" w:themeColor="text1"/>
        </w:rPr>
        <w:t xml:space="preserve"> TSSs compared to the CD14</w:t>
      </w:r>
      <w:r w:rsidRPr="00297DF3">
        <w:rPr>
          <w:color w:val="000000" w:themeColor="text1"/>
          <w:vertAlign w:val="superscript"/>
        </w:rPr>
        <w:t>+</w:t>
      </w:r>
      <w:r>
        <w:rPr>
          <w:color w:val="000000" w:themeColor="text1"/>
        </w:rPr>
        <w:t xml:space="preserve"> monocyte ones. The link between lower quality and lower signal/peaks in Figure 3.1 is explicitly mentioned in the following paragraph (page x): </w:t>
      </w:r>
      <w:r w:rsidR="003130AF" w:rsidRPr="003130AF">
        <w:rPr>
          <w:color w:val="0070C0"/>
          <w:lang w:val="en-US"/>
        </w:rPr>
        <w:t>“</w:t>
      </w:r>
      <w:r w:rsidRPr="003130AF">
        <w:rPr>
          <w:color w:val="0070C0"/>
          <w:lang w:val="en-US"/>
        </w:rPr>
        <w:t>Fold-enrichment signals over the TSS ranged from 5 to 7 for the CD4</w:t>
      </w:r>
      <w:r w:rsidRPr="003130AF">
        <w:rPr>
          <w:color w:val="0070C0"/>
          <w:vertAlign w:val="superscript"/>
          <w:lang w:val="en-US"/>
        </w:rPr>
        <w:t>+</w:t>
      </w:r>
      <w:r w:rsidRPr="003130AF">
        <w:rPr>
          <w:color w:val="0070C0"/>
          <w:lang w:val="en-US"/>
        </w:rPr>
        <w:t xml:space="preserve"> samples, and were</w:t>
      </w:r>
      <w:r w:rsidR="003130AF" w:rsidRPr="003130AF">
        <w:rPr>
          <w:color w:val="0070C0"/>
          <w:lang w:val="en-US"/>
        </w:rPr>
        <w:t xml:space="preserve"> </w:t>
      </w:r>
      <w:r w:rsidRPr="003130AF">
        <w:rPr>
          <w:color w:val="0070C0"/>
          <w:lang w:val="en-US"/>
        </w:rPr>
        <w:t>much higher (17 to 20) in the CD14</w:t>
      </w:r>
      <w:r w:rsidRPr="003130AF">
        <w:rPr>
          <w:color w:val="0070C0"/>
          <w:vertAlign w:val="superscript"/>
          <w:lang w:val="en-US"/>
        </w:rPr>
        <w:t xml:space="preserve">+ </w:t>
      </w:r>
      <w:r w:rsidRPr="003130AF">
        <w:rPr>
          <w:color w:val="0070C0"/>
          <w:lang w:val="en-US"/>
        </w:rPr>
        <w:t>samples. The lower sample quality of the CD4</w:t>
      </w:r>
      <w:r w:rsidRPr="003130AF">
        <w:rPr>
          <w:color w:val="0070C0"/>
          <w:vertAlign w:val="superscript"/>
          <w:lang w:val="en-US"/>
        </w:rPr>
        <w:t>+</w:t>
      </w:r>
      <w:r w:rsidRPr="003130AF">
        <w:rPr>
          <w:color w:val="0070C0"/>
          <w:lang w:val="en-US"/>
        </w:rPr>
        <w:t xml:space="preserve"> compared to CD14</w:t>
      </w:r>
      <w:r w:rsidRPr="003130AF">
        <w:rPr>
          <w:color w:val="0070C0"/>
          <w:vertAlign w:val="superscript"/>
          <w:lang w:val="en-US"/>
        </w:rPr>
        <w:t>+</w:t>
      </w:r>
      <w:r w:rsidRPr="003130AF">
        <w:rPr>
          <w:color w:val="0070C0"/>
          <w:lang w:val="en-US"/>
        </w:rPr>
        <w:t xml:space="preserve"> samples indicated by the TSS enrichment values were further evidenced by </w:t>
      </w:r>
      <w:proofErr w:type="spellStart"/>
      <w:r w:rsidRPr="003130AF">
        <w:rPr>
          <w:color w:val="0070C0"/>
          <w:lang w:val="en-US"/>
        </w:rPr>
        <w:t>visualising</w:t>
      </w:r>
      <w:proofErr w:type="spellEnd"/>
      <w:r w:rsidRPr="003130AF">
        <w:rPr>
          <w:color w:val="0070C0"/>
          <w:lang w:val="en-US"/>
        </w:rPr>
        <w:t xml:space="preserve"> the ATAC-</w:t>
      </w:r>
      <w:proofErr w:type="spellStart"/>
      <w:r w:rsidRPr="003130AF">
        <w:rPr>
          <w:color w:val="0070C0"/>
          <w:lang w:val="en-US"/>
        </w:rPr>
        <w:t>seq</w:t>
      </w:r>
      <w:proofErr w:type="spellEnd"/>
      <w:r w:rsidRPr="003130AF">
        <w:rPr>
          <w:color w:val="0070C0"/>
          <w:lang w:val="en-US"/>
        </w:rPr>
        <w:t xml:space="preserve"> read pile up at the promoters of the glyceraldehyde-3-phosphate dehydrogenase (</w:t>
      </w:r>
      <w:r w:rsidRPr="003130AF">
        <w:rPr>
          <w:i/>
          <w:color w:val="0070C0"/>
          <w:lang w:val="en-US"/>
        </w:rPr>
        <w:t>GAPDH</w:t>
      </w:r>
      <w:r w:rsidRPr="003130AF">
        <w:rPr>
          <w:color w:val="0070C0"/>
          <w:lang w:val="en-US"/>
        </w:rPr>
        <w:t>)</w:t>
      </w:r>
      <w:r w:rsidR="003130AF" w:rsidRPr="003130AF">
        <w:rPr>
          <w:color w:val="0070C0"/>
          <w:lang w:val="en-US"/>
        </w:rPr>
        <w:t xml:space="preserve"> </w:t>
      </w:r>
      <w:r w:rsidRPr="003130AF">
        <w:rPr>
          <w:color w:val="0070C0"/>
          <w:lang w:val="en-US"/>
        </w:rPr>
        <w:t>and the NOP2 Nucleolar Protein (</w:t>
      </w:r>
      <w:r w:rsidRPr="003130AF">
        <w:rPr>
          <w:i/>
          <w:color w:val="0070C0"/>
          <w:lang w:val="en-US"/>
        </w:rPr>
        <w:t>NOP2</w:t>
      </w:r>
      <w:r w:rsidRPr="003130AF">
        <w:rPr>
          <w:color w:val="0070C0"/>
          <w:lang w:val="en-US"/>
        </w:rPr>
        <w:t>) gene, showing more background reads</w:t>
      </w:r>
      <w:r w:rsidR="003130AF" w:rsidRPr="003130AF">
        <w:rPr>
          <w:color w:val="0070C0"/>
          <w:lang w:val="en-US"/>
        </w:rPr>
        <w:t xml:space="preserve"> </w:t>
      </w:r>
      <w:r w:rsidRPr="003130AF">
        <w:rPr>
          <w:color w:val="0070C0"/>
          <w:lang w:val="en-US"/>
        </w:rPr>
        <w:t>and lower signal for the CD4</w:t>
      </w:r>
      <w:r w:rsidRPr="003130AF">
        <w:rPr>
          <w:color w:val="0070C0"/>
          <w:vertAlign w:val="superscript"/>
          <w:lang w:val="en-US"/>
        </w:rPr>
        <w:t>+</w:t>
      </w:r>
      <w:r w:rsidRPr="003130AF">
        <w:rPr>
          <w:color w:val="0070C0"/>
          <w:lang w:val="en-US"/>
        </w:rPr>
        <w:t xml:space="preserve"> samples (Figure 3.1C).</w:t>
      </w:r>
      <w:r w:rsidR="003130AF" w:rsidRPr="003130AF">
        <w:rPr>
          <w:color w:val="0070C0"/>
          <w:lang w:val="en-US"/>
        </w:rPr>
        <w:t>”</w:t>
      </w:r>
    </w:p>
    <w:p w14:paraId="709DE244" w14:textId="73FE4A74" w:rsidR="00945056" w:rsidRDefault="00945056" w:rsidP="00B5748E">
      <w:pPr>
        <w:tabs>
          <w:tab w:val="left" w:pos="284"/>
        </w:tabs>
        <w:jc w:val="both"/>
        <w:rPr>
          <w:b/>
          <w:sz w:val="28"/>
          <w:szCs w:val="28"/>
        </w:rPr>
      </w:pPr>
    </w:p>
    <w:p w14:paraId="7D7B38CD" w14:textId="7B3F09A1" w:rsidR="00945056" w:rsidRDefault="00945056" w:rsidP="00B5748E">
      <w:pPr>
        <w:tabs>
          <w:tab w:val="left" w:pos="284"/>
        </w:tabs>
        <w:jc w:val="both"/>
        <w:rPr>
          <w:b/>
          <w:sz w:val="28"/>
          <w:szCs w:val="28"/>
        </w:rPr>
      </w:pPr>
    </w:p>
    <w:p w14:paraId="3C615AC0" w14:textId="77777777" w:rsidR="00945056" w:rsidRPr="00B5748E" w:rsidRDefault="00945056" w:rsidP="00B5748E">
      <w:pPr>
        <w:tabs>
          <w:tab w:val="left" w:pos="284"/>
        </w:tabs>
        <w:jc w:val="both"/>
        <w:rPr>
          <w:b/>
          <w:sz w:val="28"/>
          <w:szCs w:val="28"/>
        </w:rPr>
      </w:pPr>
    </w:p>
    <w:p w14:paraId="43D0FDF3" w14:textId="72499B18" w:rsidR="00D709D1" w:rsidRPr="00B5748E" w:rsidRDefault="00D709D1" w:rsidP="00B5748E">
      <w:pPr>
        <w:pStyle w:val="ListParagraph"/>
        <w:numPr>
          <w:ilvl w:val="0"/>
          <w:numId w:val="1"/>
        </w:numPr>
        <w:tabs>
          <w:tab w:val="left" w:pos="284"/>
          <w:tab w:val="left" w:pos="426"/>
        </w:tabs>
        <w:ind w:left="0" w:firstLine="0"/>
        <w:jc w:val="both"/>
        <w:rPr>
          <w:b/>
          <w:sz w:val="28"/>
          <w:szCs w:val="28"/>
        </w:rPr>
      </w:pPr>
      <w:r w:rsidRPr="00B5748E">
        <w:rPr>
          <w:b/>
          <w:sz w:val="28"/>
          <w:szCs w:val="28"/>
        </w:rPr>
        <w:t>Fig 3.3 was incorrectly labelled and should be corrected.</w:t>
      </w:r>
    </w:p>
    <w:p w14:paraId="07933886" w14:textId="77777777" w:rsidR="007100CF" w:rsidRDefault="007100CF" w:rsidP="007100CF">
      <w:pPr>
        <w:jc w:val="both"/>
        <w:rPr>
          <w:color w:val="0070C0"/>
          <w:lang w:val="en-US"/>
        </w:rPr>
      </w:pPr>
    </w:p>
    <w:p w14:paraId="16090AF0" w14:textId="464CB39C" w:rsidR="006E2C58" w:rsidRDefault="007100CF" w:rsidP="007100CF">
      <w:pPr>
        <w:jc w:val="both"/>
        <w:rPr>
          <w:color w:val="0070C0"/>
          <w:lang w:val="en-US"/>
        </w:rPr>
      </w:pPr>
      <w:r>
        <w:rPr>
          <w:color w:val="0070C0"/>
          <w:lang w:val="en-US"/>
        </w:rPr>
        <w:t>Old: “</w:t>
      </w:r>
      <w:r w:rsidR="00FE75B8" w:rsidRPr="007100CF">
        <w:rPr>
          <w:color w:val="0070C0"/>
          <w:lang w:val="en-US"/>
        </w:rPr>
        <w:t>Figure 3.3: Peak calling filtering using IDR analysis in ATAC-</w:t>
      </w:r>
      <w:proofErr w:type="spellStart"/>
      <w:r w:rsidR="00FE75B8" w:rsidRPr="007100CF">
        <w:rPr>
          <w:color w:val="0070C0"/>
          <w:lang w:val="en-US"/>
        </w:rPr>
        <w:t>seq</w:t>
      </w:r>
      <w:proofErr w:type="spellEnd"/>
      <w:r w:rsidR="00FE75B8" w:rsidRPr="007100CF">
        <w:rPr>
          <w:color w:val="0070C0"/>
          <w:lang w:val="en-US"/>
        </w:rPr>
        <w:t xml:space="preserve"> samples. For each of</w:t>
      </w:r>
      <w:r>
        <w:rPr>
          <w:color w:val="0070C0"/>
          <w:lang w:val="en-US"/>
        </w:rPr>
        <w:t xml:space="preserve"> </w:t>
      </w:r>
      <w:r w:rsidR="00FE75B8" w:rsidRPr="007100CF">
        <w:rPr>
          <w:color w:val="0070C0"/>
          <w:lang w:val="en-US"/>
        </w:rPr>
        <w:t>the sequencing depths tested (from 5 to 30 million reads after filtering), an illustration</w:t>
      </w:r>
      <w:r>
        <w:rPr>
          <w:color w:val="0070C0"/>
          <w:lang w:val="en-US"/>
        </w:rPr>
        <w:t xml:space="preserve"> </w:t>
      </w:r>
      <w:r w:rsidR="00FE75B8" w:rsidRPr="007100CF">
        <w:rPr>
          <w:color w:val="0070C0"/>
          <w:lang w:val="en-US"/>
        </w:rPr>
        <w:t xml:space="preserve">of the percentage of peaks sharing IDR rank between the two </w:t>
      </w:r>
      <w:proofErr w:type="spellStart"/>
      <w:r w:rsidR="00FE75B8" w:rsidRPr="007100CF">
        <w:rPr>
          <w:color w:val="0070C0"/>
          <w:lang w:val="en-US"/>
        </w:rPr>
        <w:t>pseudoreplicates</w:t>
      </w:r>
      <w:proofErr w:type="spellEnd"/>
      <w:r w:rsidR="00FE75B8" w:rsidRPr="007100CF">
        <w:rPr>
          <w:color w:val="0070C0"/>
          <w:lang w:val="en-US"/>
        </w:rPr>
        <w:t xml:space="preserve"> is</w:t>
      </w:r>
      <w:r>
        <w:rPr>
          <w:color w:val="0070C0"/>
          <w:lang w:val="en-US"/>
        </w:rPr>
        <w:t xml:space="preserve"> </w:t>
      </w:r>
      <w:r w:rsidR="00FE75B8" w:rsidRPr="007100CF">
        <w:rPr>
          <w:color w:val="0070C0"/>
          <w:lang w:val="en-US"/>
        </w:rPr>
        <w:t>shown when using different p-value filtering thresholds in CTL2 (A) CD14</w:t>
      </w:r>
      <w:r w:rsidR="00FE75B8" w:rsidRPr="007100CF">
        <w:rPr>
          <w:color w:val="0070C0"/>
          <w:vertAlign w:val="superscript"/>
          <w:lang w:val="en-US"/>
        </w:rPr>
        <w:t>+</w:t>
      </w:r>
      <w:r w:rsidR="00FE75B8" w:rsidRPr="007100CF">
        <w:rPr>
          <w:color w:val="0070C0"/>
          <w:lang w:val="en-US"/>
        </w:rPr>
        <w:t xml:space="preserve"> monocytes</w:t>
      </w:r>
      <w:r>
        <w:rPr>
          <w:color w:val="0070C0"/>
          <w:lang w:val="en-US"/>
        </w:rPr>
        <w:t xml:space="preserve"> </w:t>
      </w:r>
      <w:r w:rsidR="00FE75B8" w:rsidRPr="007100CF">
        <w:rPr>
          <w:color w:val="0070C0"/>
          <w:lang w:val="en-US"/>
        </w:rPr>
        <w:t>and (B) CD4</w:t>
      </w:r>
      <w:r w:rsidR="00FE75B8" w:rsidRPr="007100CF">
        <w:rPr>
          <w:color w:val="0070C0"/>
          <w:vertAlign w:val="superscript"/>
          <w:lang w:val="en-US"/>
        </w:rPr>
        <w:t>+</w:t>
      </w:r>
      <w:r w:rsidR="00FE75B8" w:rsidRPr="007100CF">
        <w:rPr>
          <w:color w:val="0070C0"/>
          <w:lang w:val="en-US"/>
        </w:rPr>
        <w:t>, two</w:t>
      </w:r>
      <w:r>
        <w:rPr>
          <w:color w:val="0070C0"/>
          <w:lang w:val="en-US"/>
        </w:rPr>
        <w:t xml:space="preserve"> </w:t>
      </w:r>
      <w:r w:rsidR="00FE75B8" w:rsidRPr="007100CF">
        <w:rPr>
          <w:color w:val="0070C0"/>
          <w:lang w:val="en-US"/>
        </w:rPr>
        <w:t>representative samples differing in quality for this analysis.</w:t>
      </w:r>
      <w:r>
        <w:rPr>
          <w:color w:val="0070C0"/>
          <w:lang w:val="en-US"/>
        </w:rPr>
        <w:t>”</w:t>
      </w:r>
    </w:p>
    <w:p w14:paraId="7EA4F4F2" w14:textId="35EC1FC8" w:rsidR="007100CF" w:rsidRDefault="007100CF" w:rsidP="007100CF">
      <w:pPr>
        <w:rPr>
          <w:b/>
          <w:sz w:val="28"/>
          <w:szCs w:val="28"/>
        </w:rPr>
      </w:pPr>
    </w:p>
    <w:p w14:paraId="0F633C79" w14:textId="1F45ED71" w:rsidR="007100CF" w:rsidRDefault="007100CF" w:rsidP="007100CF">
      <w:pPr>
        <w:jc w:val="both"/>
        <w:rPr>
          <w:rFonts w:eastAsiaTheme="minorHAnsi"/>
          <w:color w:val="FF0000"/>
          <w:lang w:val="en-US"/>
        </w:rPr>
      </w:pPr>
      <w:r>
        <w:rPr>
          <w:rFonts w:eastAsiaTheme="minorHAnsi"/>
          <w:color w:val="FF0000"/>
          <w:lang w:val="en-US"/>
        </w:rPr>
        <w:t>New: “</w:t>
      </w:r>
      <w:r w:rsidRPr="007100CF">
        <w:rPr>
          <w:rFonts w:eastAsiaTheme="minorHAnsi"/>
          <w:color w:val="FF0000"/>
          <w:lang w:val="en-US"/>
        </w:rPr>
        <w:t>Figure 3.3: Peak calling filtering using IDR analysis in ATAC-</w:t>
      </w:r>
      <w:proofErr w:type="spellStart"/>
      <w:r w:rsidRPr="007100CF">
        <w:rPr>
          <w:rFonts w:eastAsiaTheme="minorHAnsi"/>
          <w:color w:val="FF0000"/>
          <w:lang w:val="en-US"/>
        </w:rPr>
        <w:t>seq</w:t>
      </w:r>
      <w:proofErr w:type="spellEnd"/>
      <w:r w:rsidRPr="007100CF">
        <w:rPr>
          <w:rFonts w:eastAsiaTheme="minorHAnsi"/>
          <w:color w:val="FF0000"/>
          <w:lang w:val="en-US"/>
        </w:rPr>
        <w:t xml:space="preserve"> samples. For each of</w:t>
      </w:r>
      <w:r>
        <w:rPr>
          <w:rFonts w:eastAsiaTheme="minorHAnsi"/>
          <w:color w:val="FF0000"/>
          <w:lang w:val="en-US"/>
        </w:rPr>
        <w:t xml:space="preserve"> </w:t>
      </w:r>
      <w:r w:rsidRPr="007100CF">
        <w:rPr>
          <w:rFonts w:eastAsiaTheme="minorHAnsi"/>
          <w:color w:val="FF0000"/>
          <w:lang w:val="en-US"/>
        </w:rPr>
        <w:t>the sequencing depths tested (from 5 to 30 million reads after filtering), an illustration</w:t>
      </w:r>
      <w:r>
        <w:rPr>
          <w:rFonts w:eastAsiaTheme="minorHAnsi"/>
          <w:color w:val="FF0000"/>
          <w:lang w:val="en-US"/>
        </w:rPr>
        <w:t xml:space="preserve"> </w:t>
      </w:r>
      <w:r w:rsidRPr="007100CF">
        <w:rPr>
          <w:rFonts w:eastAsiaTheme="minorHAnsi"/>
          <w:color w:val="FF0000"/>
          <w:lang w:val="en-US"/>
        </w:rPr>
        <w:t xml:space="preserve">of the percentage of peaks sharing IDR rank between the two </w:t>
      </w:r>
      <w:proofErr w:type="spellStart"/>
      <w:r w:rsidRPr="007100CF">
        <w:rPr>
          <w:rFonts w:eastAsiaTheme="minorHAnsi"/>
          <w:color w:val="FF0000"/>
          <w:lang w:val="en-US"/>
        </w:rPr>
        <w:t>pseudoreplicates</w:t>
      </w:r>
      <w:proofErr w:type="spellEnd"/>
      <w:r w:rsidRPr="007100CF">
        <w:rPr>
          <w:rFonts w:eastAsiaTheme="minorHAnsi"/>
          <w:color w:val="FF0000"/>
          <w:lang w:val="en-US"/>
        </w:rPr>
        <w:t xml:space="preserve"> is shown</w:t>
      </w:r>
      <w:r>
        <w:rPr>
          <w:rFonts w:eastAsiaTheme="minorHAnsi"/>
          <w:color w:val="FF0000"/>
          <w:lang w:val="en-US"/>
        </w:rPr>
        <w:t xml:space="preserve"> </w:t>
      </w:r>
      <w:r w:rsidRPr="007100CF">
        <w:rPr>
          <w:rFonts w:eastAsiaTheme="minorHAnsi"/>
          <w:color w:val="FF0000"/>
          <w:lang w:val="en-US"/>
        </w:rPr>
        <w:t>when using different p-value filtering thresholds in CTL2 (A) CD4</w:t>
      </w:r>
      <w:r w:rsidRPr="007100CF">
        <w:rPr>
          <w:rFonts w:eastAsiaTheme="minorHAnsi"/>
          <w:color w:val="FF0000"/>
          <w:vertAlign w:val="superscript"/>
          <w:lang w:val="en-US"/>
        </w:rPr>
        <w:t>+</w:t>
      </w:r>
      <w:r w:rsidRPr="007100CF">
        <w:rPr>
          <w:rFonts w:eastAsiaTheme="minorHAnsi"/>
          <w:color w:val="FF0000"/>
          <w:lang w:val="en-US"/>
        </w:rPr>
        <w:t xml:space="preserve"> T cells and (B)</w:t>
      </w:r>
      <w:r>
        <w:rPr>
          <w:rFonts w:eastAsiaTheme="minorHAnsi"/>
          <w:color w:val="FF0000"/>
          <w:lang w:val="en-US"/>
        </w:rPr>
        <w:t xml:space="preserve"> </w:t>
      </w:r>
      <w:r w:rsidRPr="007100CF">
        <w:rPr>
          <w:rFonts w:eastAsiaTheme="minorHAnsi"/>
          <w:color w:val="FF0000"/>
          <w:lang w:val="en-US"/>
        </w:rPr>
        <w:t>CD14</w:t>
      </w:r>
      <w:r w:rsidRPr="007100CF">
        <w:rPr>
          <w:rFonts w:eastAsiaTheme="minorHAnsi"/>
          <w:color w:val="FF0000"/>
          <w:vertAlign w:val="superscript"/>
          <w:lang w:val="en-US"/>
        </w:rPr>
        <w:t xml:space="preserve">+ </w:t>
      </w:r>
      <w:r w:rsidRPr="007100CF">
        <w:rPr>
          <w:rFonts w:eastAsiaTheme="minorHAnsi"/>
          <w:color w:val="FF0000"/>
          <w:lang w:val="en-US"/>
        </w:rPr>
        <w:t>monocytes, two representative samples differing in quality for this analysis.</w:t>
      </w:r>
      <w:r>
        <w:rPr>
          <w:rFonts w:eastAsiaTheme="minorHAnsi"/>
          <w:color w:val="FF0000"/>
          <w:lang w:val="en-US"/>
        </w:rPr>
        <w:t>”</w:t>
      </w:r>
    </w:p>
    <w:p w14:paraId="58B2C138" w14:textId="5CAB71E2" w:rsidR="00335FE7" w:rsidRDefault="00335FE7" w:rsidP="007100CF">
      <w:pPr>
        <w:jc w:val="both"/>
        <w:rPr>
          <w:b/>
          <w:sz w:val="28"/>
          <w:szCs w:val="28"/>
        </w:rPr>
      </w:pPr>
    </w:p>
    <w:p w14:paraId="383CE490" w14:textId="77777777" w:rsidR="00335FE7" w:rsidRPr="006E2C58" w:rsidRDefault="00335FE7" w:rsidP="007100CF">
      <w:pPr>
        <w:jc w:val="both"/>
        <w:rPr>
          <w:b/>
          <w:sz w:val="28"/>
          <w:szCs w:val="28"/>
        </w:rPr>
      </w:pPr>
    </w:p>
    <w:p w14:paraId="73F567A2" w14:textId="77777777" w:rsidR="00D709D1" w:rsidRDefault="00D709D1" w:rsidP="008573B4">
      <w:pPr>
        <w:pStyle w:val="ListParagraph"/>
        <w:numPr>
          <w:ilvl w:val="0"/>
          <w:numId w:val="1"/>
        </w:numPr>
        <w:tabs>
          <w:tab w:val="left" w:pos="284"/>
          <w:tab w:val="left" w:pos="426"/>
        </w:tabs>
        <w:ind w:left="0" w:firstLine="0"/>
        <w:jc w:val="both"/>
        <w:rPr>
          <w:b/>
          <w:sz w:val="28"/>
          <w:szCs w:val="28"/>
        </w:rPr>
      </w:pPr>
      <w:r w:rsidRPr="00D709D1">
        <w:rPr>
          <w:b/>
          <w:sz w:val="28"/>
          <w:szCs w:val="28"/>
        </w:rPr>
        <w:t>In the chapter comparing fresh vs frozen processing, some discussion as to whether this is feasible for all studies would be useful.</w:t>
      </w:r>
    </w:p>
    <w:p w14:paraId="2895B8E0" w14:textId="68B5FA58" w:rsidR="006E2C58" w:rsidRDefault="006E2C58" w:rsidP="006E2C58">
      <w:pPr>
        <w:tabs>
          <w:tab w:val="left" w:pos="284"/>
        </w:tabs>
        <w:jc w:val="both"/>
        <w:rPr>
          <w:b/>
          <w:sz w:val="28"/>
          <w:szCs w:val="28"/>
        </w:rPr>
      </w:pPr>
    </w:p>
    <w:p w14:paraId="4FDF58CD" w14:textId="0E721402" w:rsidR="00E57853" w:rsidRDefault="00E57853" w:rsidP="00E57853">
      <w:pPr>
        <w:tabs>
          <w:tab w:val="left" w:pos="284"/>
          <w:tab w:val="left" w:pos="426"/>
        </w:tabs>
        <w:jc w:val="both"/>
        <w:rPr>
          <w:color w:val="000000" w:themeColor="text1"/>
        </w:rPr>
      </w:pPr>
      <w:r>
        <w:rPr>
          <w:color w:val="000000" w:themeColor="text1"/>
        </w:rPr>
        <w:t>I have added the following paragraph acknowledging the impossibility of using freshly processed samples for certain types of studies, in which case cryopreservation can be considered together with formaldehyde fixation.</w:t>
      </w:r>
    </w:p>
    <w:p w14:paraId="7FA4BBD6" w14:textId="77777777" w:rsidR="00E57853" w:rsidRDefault="00E57853" w:rsidP="00E57853">
      <w:pPr>
        <w:autoSpaceDE w:val="0"/>
        <w:autoSpaceDN w:val="0"/>
        <w:adjustRightInd w:val="0"/>
        <w:rPr>
          <w:rFonts w:eastAsiaTheme="minorHAnsi"/>
          <w:color w:val="FF0000"/>
          <w:lang w:val="en-US"/>
        </w:rPr>
      </w:pPr>
    </w:p>
    <w:p w14:paraId="2852010D" w14:textId="5DBB7B3E" w:rsidR="00E57853" w:rsidRDefault="00E57853" w:rsidP="00E57853">
      <w:pPr>
        <w:autoSpaceDE w:val="0"/>
        <w:autoSpaceDN w:val="0"/>
        <w:adjustRightInd w:val="0"/>
        <w:jc w:val="both"/>
        <w:rPr>
          <w:b/>
          <w:sz w:val="28"/>
          <w:szCs w:val="28"/>
        </w:rPr>
      </w:pPr>
      <w:r>
        <w:rPr>
          <w:rFonts w:eastAsiaTheme="minorHAnsi"/>
          <w:color w:val="FF0000"/>
          <w:lang w:val="en-US"/>
        </w:rPr>
        <w:t xml:space="preserve">New: “Fresh sample processing may not always be feasible, for example in studies aiming to </w:t>
      </w:r>
      <w:proofErr w:type="spellStart"/>
      <w:r>
        <w:rPr>
          <w:rFonts w:eastAsiaTheme="minorHAnsi"/>
          <w:color w:val="FF0000"/>
          <w:lang w:val="en-US"/>
        </w:rPr>
        <w:t>maximise</w:t>
      </w:r>
      <w:proofErr w:type="spellEnd"/>
      <w:r>
        <w:rPr>
          <w:rFonts w:eastAsiaTheme="minorHAnsi"/>
          <w:color w:val="FF0000"/>
          <w:lang w:val="en-US"/>
        </w:rPr>
        <w:t xml:space="preserve"> the use of existing biobank cryopreserved samples to achieve large sample sizes or in longitudinal studies looking at the same individual at different points in times (</w:t>
      </w:r>
      <w:proofErr w:type="spellStart"/>
      <w:r>
        <w:rPr>
          <w:rFonts w:eastAsiaTheme="minorHAnsi"/>
          <w:color w:val="FF0000"/>
          <w:lang w:val="en-US"/>
        </w:rPr>
        <w:t>e.g</w:t>
      </w:r>
      <w:proofErr w:type="spellEnd"/>
      <w:r>
        <w:rPr>
          <w:rFonts w:eastAsiaTheme="minorHAnsi"/>
          <w:color w:val="FF0000"/>
          <w:lang w:val="en-US"/>
        </w:rPr>
        <w:t xml:space="preserve"> pre- and post- disease or treatment). In such instances, studying chromatin accessibility in cells isolated from cryopreserved PBMCs represents a suitable alternative, where acknowledging that differences may be found when comparing to fresh processed samples can be useful when trying to validate these results. Importantly, the </w:t>
      </w:r>
      <w:proofErr w:type="spellStart"/>
      <w:r>
        <w:rPr>
          <w:rFonts w:eastAsiaTheme="minorHAnsi"/>
          <w:color w:val="FF0000"/>
          <w:lang w:val="en-US"/>
        </w:rPr>
        <w:t>Buenrostro</w:t>
      </w:r>
      <w:proofErr w:type="spellEnd"/>
      <w:r>
        <w:rPr>
          <w:rFonts w:eastAsiaTheme="minorHAnsi"/>
          <w:color w:val="FF0000"/>
          <w:lang w:val="en-US"/>
        </w:rPr>
        <w:t xml:space="preserve"> et al. 2013 ATAC-</w:t>
      </w:r>
      <w:proofErr w:type="spellStart"/>
      <w:r>
        <w:rPr>
          <w:rFonts w:eastAsiaTheme="minorHAnsi"/>
          <w:color w:val="FF0000"/>
          <w:lang w:val="en-US"/>
        </w:rPr>
        <w:t>seq</w:t>
      </w:r>
      <w:proofErr w:type="spellEnd"/>
      <w:r>
        <w:rPr>
          <w:rFonts w:eastAsiaTheme="minorHAnsi"/>
          <w:color w:val="FF0000"/>
          <w:lang w:val="en-US"/>
        </w:rPr>
        <w:t xml:space="preserve"> protocol </w:t>
      </w:r>
      <w:r>
        <w:rPr>
          <w:rFonts w:eastAsiaTheme="minorHAnsi"/>
          <w:color w:val="FF0000"/>
          <w:lang w:val="en-US"/>
        </w:rPr>
        <w:lastRenderedPageBreak/>
        <w:t>with some modification has been successfully used in formaldehyde fixed samples and it may represent a better alternative to preserve freshly purified cell populations to study the epigenetic landscape of clinical samples retrospectively (</w:t>
      </w:r>
      <w:proofErr w:type="spellStart"/>
      <w:r>
        <w:rPr>
          <w:rFonts w:eastAsiaTheme="minorHAnsi"/>
          <w:color w:val="FF0000"/>
          <w:lang w:val="en-US"/>
        </w:rPr>
        <w:t>Corces</w:t>
      </w:r>
      <w:proofErr w:type="spellEnd"/>
      <w:r>
        <w:rPr>
          <w:rFonts w:eastAsiaTheme="minorHAnsi"/>
          <w:color w:val="FF0000"/>
          <w:lang w:val="en-US"/>
        </w:rPr>
        <w:t xml:space="preserve"> et al. 2017; Chen et al. 2016).”</w:t>
      </w:r>
    </w:p>
    <w:p w14:paraId="0E868910" w14:textId="5A44F391" w:rsidR="00E57853" w:rsidRDefault="00E57853" w:rsidP="006E2C58">
      <w:pPr>
        <w:tabs>
          <w:tab w:val="left" w:pos="284"/>
        </w:tabs>
        <w:jc w:val="both"/>
        <w:rPr>
          <w:b/>
          <w:sz w:val="28"/>
          <w:szCs w:val="28"/>
        </w:rPr>
      </w:pPr>
    </w:p>
    <w:p w14:paraId="2240E9D4" w14:textId="2F572FED" w:rsidR="00E57853" w:rsidRDefault="00E57853" w:rsidP="006E2C58">
      <w:pPr>
        <w:tabs>
          <w:tab w:val="left" w:pos="284"/>
        </w:tabs>
        <w:jc w:val="both"/>
        <w:rPr>
          <w:b/>
          <w:sz w:val="28"/>
          <w:szCs w:val="28"/>
        </w:rPr>
      </w:pPr>
    </w:p>
    <w:p w14:paraId="3ED65CA2" w14:textId="77777777" w:rsidR="00E57853" w:rsidRPr="006E2C58" w:rsidRDefault="00E57853" w:rsidP="006E2C58">
      <w:pPr>
        <w:tabs>
          <w:tab w:val="left" w:pos="284"/>
        </w:tabs>
        <w:jc w:val="both"/>
        <w:rPr>
          <w:b/>
          <w:sz w:val="28"/>
          <w:szCs w:val="28"/>
        </w:rPr>
      </w:pPr>
    </w:p>
    <w:p w14:paraId="12E22924" w14:textId="77777777" w:rsidR="00D709D1" w:rsidRDefault="00D709D1" w:rsidP="006E2C58">
      <w:pPr>
        <w:pStyle w:val="ListParagraph"/>
        <w:numPr>
          <w:ilvl w:val="0"/>
          <w:numId w:val="1"/>
        </w:numPr>
        <w:tabs>
          <w:tab w:val="left" w:pos="284"/>
          <w:tab w:val="left" w:pos="426"/>
        </w:tabs>
        <w:ind w:left="0" w:firstLine="0"/>
        <w:jc w:val="both"/>
        <w:rPr>
          <w:b/>
          <w:sz w:val="28"/>
          <w:szCs w:val="28"/>
        </w:rPr>
      </w:pPr>
      <w:r w:rsidRPr="00D709D1">
        <w:rPr>
          <w:b/>
          <w:sz w:val="28"/>
          <w:szCs w:val="28"/>
        </w:rPr>
        <w:t>In the gene expression profile chapter discussion, it would be useful to include a brief discussion about separating cause from effect of the transcriptional changes.</w:t>
      </w:r>
    </w:p>
    <w:p w14:paraId="71B1E420" w14:textId="77777777" w:rsidR="006D30F9" w:rsidRDefault="006D30F9" w:rsidP="006D30F9">
      <w:pPr>
        <w:pStyle w:val="ListParagraph"/>
        <w:ind w:left="0"/>
        <w:rPr>
          <w:b/>
          <w:sz w:val="28"/>
          <w:szCs w:val="28"/>
        </w:rPr>
      </w:pPr>
    </w:p>
    <w:p w14:paraId="4AE70A26" w14:textId="6A05ABEA" w:rsidR="006D30F9" w:rsidRDefault="006D30F9" w:rsidP="006D30F9">
      <w:pPr>
        <w:pStyle w:val="ListParagraph"/>
        <w:ind w:left="0"/>
        <w:rPr>
          <w:color w:val="000000" w:themeColor="text1"/>
        </w:rPr>
      </w:pPr>
      <w:r>
        <w:rPr>
          <w:color w:val="000000" w:themeColor="text1"/>
        </w:rPr>
        <w:t>In Chapter 4 Section 4.3.X name I have added the following paragraph addressing separation of cause from effect in the transcriptional changes observed when comparing psoriasis circulating immune cells to healthy controls.</w:t>
      </w:r>
    </w:p>
    <w:p w14:paraId="76A117C8" w14:textId="25928910" w:rsidR="006D30F9" w:rsidRDefault="006D30F9" w:rsidP="006D30F9">
      <w:pPr>
        <w:pStyle w:val="ListParagraph"/>
        <w:ind w:left="0"/>
        <w:rPr>
          <w:color w:val="000000" w:themeColor="text1"/>
        </w:rPr>
      </w:pPr>
    </w:p>
    <w:p w14:paraId="01A0FF8F" w14:textId="66F5D543" w:rsidR="00323E02" w:rsidRDefault="00323E02" w:rsidP="00323E02">
      <w:pPr>
        <w:pStyle w:val="ListParagraph"/>
        <w:ind w:left="0"/>
        <w:jc w:val="both"/>
        <w:rPr>
          <w:color w:val="000000" w:themeColor="text1"/>
        </w:rPr>
      </w:pPr>
      <w:r>
        <w:rPr>
          <w:color w:val="000000" w:themeColor="text1"/>
        </w:rPr>
        <w:t xml:space="preserve">The characterisation of the transcriptomic differences between patients and controls </w:t>
      </w:r>
      <w:r>
        <w:rPr>
          <w:color w:val="000000" w:themeColor="text1"/>
        </w:rPr>
        <w:t xml:space="preserve">in circulating immune cells </w:t>
      </w:r>
      <w:r>
        <w:rPr>
          <w:color w:val="000000" w:themeColor="text1"/>
        </w:rPr>
        <w:t>conducted in this thesis provides some key insights into pathogenesis of disease. Nevertheless, separating those changes in disease cause and consequence remains challenging.</w:t>
      </w:r>
    </w:p>
    <w:p w14:paraId="00036793" w14:textId="1DA92C06" w:rsidR="00323E02" w:rsidRDefault="00323E02" w:rsidP="00323E02">
      <w:pPr>
        <w:pStyle w:val="ListParagraph"/>
        <w:ind w:left="0"/>
        <w:jc w:val="both"/>
        <w:rPr>
          <w:color w:val="000000" w:themeColor="text1"/>
        </w:rPr>
      </w:pPr>
    </w:p>
    <w:p w14:paraId="7E0AAFCE" w14:textId="7B42D64F" w:rsidR="00323E02" w:rsidRDefault="00323E02" w:rsidP="00323E02">
      <w:pPr>
        <w:pStyle w:val="ListParagraph"/>
        <w:ind w:left="0"/>
        <w:jc w:val="both"/>
        <w:rPr>
          <w:color w:val="000000" w:themeColor="text1"/>
        </w:rPr>
      </w:pPr>
      <w:r>
        <w:rPr>
          <w:color w:val="000000" w:themeColor="text1"/>
        </w:rPr>
        <w:t xml:space="preserve">Integration </w:t>
      </w:r>
      <w:r w:rsidR="004814F2">
        <w:rPr>
          <w:color w:val="000000" w:themeColor="text1"/>
        </w:rPr>
        <w:t xml:space="preserve">of gene expression profiles </w:t>
      </w:r>
      <w:r>
        <w:rPr>
          <w:color w:val="000000" w:themeColor="text1"/>
        </w:rPr>
        <w:t xml:space="preserve">with GWAS </w:t>
      </w:r>
      <w:r w:rsidR="004814F2">
        <w:rPr>
          <w:color w:val="000000" w:themeColor="text1"/>
        </w:rPr>
        <w:t>could</w:t>
      </w:r>
      <w:r>
        <w:rPr>
          <w:color w:val="000000" w:themeColor="text1"/>
        </w:rPr>
        <w:t xml:space="preserve"> help to identify which of those changes may be causal due to their link with genetic variants </w:t>
      </w:r>
      <w:r w:rsidR="004814F2">
        <w:rPr>
          <w:color w:val="000000" w:themeColor="text1"/>
        </w:rPr>
        <w:t>predisposing to</w:t>
      </w:r>
      <w:r>
        <w:rPr>
          <w:color w:val="000000" w:themeColor="text1"/>
        </w:rPr>
        <w:t xml:space="preserve"> disease. However</w:t>
      </w:r>
      <w:r w:rsidR="004814F2">
        <w:rPr>
          <w:color w:val="000000" w:themeColor="text1"/>
        </w:rPr>
        <w:t xml:space="preserve">, this approach </w:t>
      </w:r>
      <w:r>
        <w:rPr>
          <w:color w:val="000000" w:themeColor="text1"/>
        </w:rPr>
        <w:t>is limited b</w:t>
      </w:r>
      <w:r w:rsidR="004814F2">
        <w:rPr>
          <w:color w:val="000000" w:themeColor="text1"/>
        </w:rPr>
        <w:t>y</w:t>
      </w:r>
      <w:r>
        <w:rPr>
          <w:color w:val="000000" w:themeColor="text1"/>
        </w:rPr>
        <w:t xml:space="preserve"> the lack of complete functional characterisation of </w:t>
      </w:r>
      <w:r w:rsidR="004814F2">
        <w:rPr>
          <w:color w:val="000000" w:themeColor="text1"/>
        </w:rPr>
        <w:t xml:space="preserve">intergenic GWAS </w:t>
      </w:r>
      <w:bookmarkStart w:id="0" w:name="_GoBack"/>
      <w:bookmarkEnd w:id="0"/>
      <w:r>
        <w:rPr>
          <w:color w:val="000000" w:themeColor="text1"/>
        </w:rPr>
        <w:t xml:space="preserve">variants and the high number of </w:t>
      </w:r>
      <w:r w:rsidR="004814F2">
        <w:rPr>
          <w:color w:val="000000" w:themeColor="text1"/>
        </w:rPr>
        <w:t>susceptibility loci with small effect that have not yet been identified</w:t>
      </w:r>
    </w:p>
    <w:p w14:paraId="72A2FF0F" w14:textId="721FD370" w:rsidR="00323E02" w:rsidRDefault="00323E02" w:rsidP="006D30F9">
      <w:pPr>
        <w:pStyle w:val="ListParagraph"/>
        <w:ind w:left="0"/>
        <w:rPr>
          <w:color w:val="000000" w:themeColor="text1"/>
        </w:rPr>
      </w:pPr>
    </w:p>
    <w:p w14:paraId="139A6CEB" w14:textId="77777777" w:rsidR="006D30F9" w:rsidRPr="006D30F9" w:rsidRDefault="006D30F9" w:rsidP="006D30F9">
      <w:pPr>
        <w:pStyle w:val="ListParagraph"/>
        <w:ind w:left="0"/>
        <w:rPr>
          <w:color w:val="000000" w:themeColor="text1"/>
        </w:rPr>
      </w:pPr>
    </w:p>
    <w:p w14:paraId="095113A9" w14:textId="77777777" w:rsidR="006E2C58" w:rsidRPr="006E2C58" w:rsidRDefault="006E2C58" w:rsidP="006E2C58">
      <w:pPr>
        <w:pStyle w:val="ListParagraph"/>
        <w:rPr>
          <w:b/>
          <w:sz w:val="28"/>
          <w:szCs w:val="28"/>
        </w:rPr>
      </w:pPr>
    </w:p>
    <w:p w14:paraId="44BE2E64" w14:textId="4F069921" w:rsidR="00E57853" w:rsidRDefault="00E57853" w:rsidP="006E2C58">
      <w:pPr>
        <w:tabs>
          <w:tab w:val="left" w:pos="284"/>
          <w:tab w:val="left" w:pos="426"/>
        </w:tabs>
        <w:jc w:val="both"/>
        <w:rPr>
          <w:b/>
          <w:sz w:val="28"/>
          <w:szCs w:val="28"/>
        </w:rPr>
      </w:pPr>
    </w:p>
    <w:p w14:paraId="4B2D68EB" w14:textId="77777777" w:rsidR="00E57853" w:rsidRPr="006E2C58" w:rsidRDefault="00E57853" w:rsidP="006E2C58">
      <w:pPr>
        <w:tabs>
          <w:tab w:val="left" w:pos="284"/>
          <w:tab w:val="left" w:pos="426"/>
        </w:tabs>
        <w:jc w:val="both"/>
        <w:rPr>
          <w:b/>
          <w:sz w:val="28"/>
          <w:szCs w:val="28"/>
        </w:rPr>
      </w:pPr>
    </w:p>
    <w:p w14:paraId="77B37D1C" w14:textId="77777777" w:rsidR="00D709D1" w:rsidRDefault="00D709D1" w:rsidP="006E2C58">
      <w:pPr>
        <w:pStyle w:val="ListParagraph"/>
        <w:numPr>
          <w:ilvl w:val="0"/>
          <w:numId w:val="1"/>
        </w:numPr>
        <w:tabs>
          <w:tab w:val="left" w:pos="284"/>
          <w:tab w:val="left" w:pos="426"/>
        </w:tabs>
        <w:ind w:left="0" w:firstLine="0"/>
        <w:jc w:val="both"/>
        <w:rPr>
          <w:b/>
          <w:sz w:val="28"/>
          <w:szCs w:val="28"/>
        </w:rPr>
      </w:pPr>
      <w:r w:rsidRPr="00D709D1">
        <w:rPr>
          <w:b/>
          <w:sz w:val="28"/>
          <w:szCs w:val="28"/>
        </w:rPr>
        <w:t xml:space="preserve">In the overall Discussion, a brief concluding paragraph discussing which are likely to be the driving cells based on this work and why monocytes were selected for </w:t>
      </w:r>
      <w:proofErr w:type="spellStart"/>
      <w:r w:rsidRPr="00D709D1">
        <w:rPr>
          <w:b/>
          <w:sz w:val="28"/>
          <w:szCs w:val="28"/>
        </w:rPr>
        <w:t>scRNA-seq</w:t>
      </w:r>
      <w:proofErr w:type="spellEnd"/>
      <w:r w:rsidRPr="00D709D1">
        <w:rPr>
          <w:b/>
          <w:sz w:val="28"/>
          <w:szCs w:val="28"/>
        </w:rPr>
        <w:t xml:space="preserve"> would be helpful. It would also be useful to summarise which technique(s) should be prioritised going forward and the immediate next steps.</w:t>
      </w:r>
    </w:p>
    <w:p w14:paraId="3BD38B31" w14:textId="77777777" w:rsidR="006E2C58" w:rsidRPr="006E2C58" w:rsidRDefault="006E2C58" w:rsidP="006E2C58">
      <w:pPr>
        <w:tabs>
          <w:tab w:val="left" w:pos="284"/>
          <w:tab w:val="left" w:pos="426"/>
        </w:tabs>
        <w:jc w:val="both"/>
        <w:rPr>
          <w:b/>
          <w:sz w:val="28"/>
          <w:szCs w:val="28"/>
        </w:rPr>
      </w:pPr>
    </w:p>
    <w:p w14:paraId="3D8F9F8E" w14:textId="77777777" w:rsidR="00D709D1" w:rsidRPr="00D709D1" w:rsidRDefault="00D709D1" w:rsidP="006E2C58">
      <w:pPr>
        <w:pStyle w:val="ListParagraph"/>
        <w:numPr>
          <w:ilvl w:val="0"/>
          <w:numId w:val="1"/>
        </w:numPr>
        <w:tabs>
          <w:tab w:val="left" w:pos="284"/>
          <w:tab w:val="left" w:pos="426"/>
        </w:tabs>
        <w:ind w:left="0" w:firstLine="0"/>
        <w:jc w:val="both"/>
        <w:rPr>
          <w:b/>
          <w:sz w:val="28"/>
          <w:szCs w:val="28"/>
        </w:rPr>
      </w:pPr>
      <w:r w:rsidRPr="00D709D1">
        <w:rPr>
          <w:b/>
          <w:sz w:val="28"/>
          <w:szCs w:val="28"/>
        </w:rPr>
        <w:t>Reference errors need corrections</w:t>
      </w:r>
    </w:p>
    <w:p w14:paraId="7816BC09" w14:textId="77777777" w:rsidR="006D30F9" w:rsidRDefault="006D30F9" w:rsidP="006D30F9">
      <w:pPr>
        <w:tabs>
          <w:tab w:val="left" w:pos="284"/>
          <w:tab w:val="left" w:pos="426"/>
        </w:tabs>
        <w:jc w:val="both"/>
        <w:rPr>
          <w:color w:val="000000" w:themeColor="text1"/>
        </w:rPr>
      </w:pPr>
    </w:p>
    <w:p w14:paraId="74294019" w14:textId="48C6FF5F" w:rsidR="006D30F9" w:rsidRPr="006D30F9" w:rsidRDefault="006D30F9" w:rsidP="006D30F9">
      <w:pPr>
        <w:tabs>
          <w:tab w:val="left" w:pos="284"/>
          <w:tab w:val="left" w:pos="426"/>
        </w:tabs>
        <w:jc w:val="both"/>
        <w:rPr>
          <w:color w:val="000000" w:themeColor="text1"/>
        </w:rPr>
      </w:pPr>
      <w:r w:rsidRPr="006D30F9">
        <w:rPr>
          <w:color w:val="000000" w:themeColor="text1"/>
        </w:rPr>
        <w:t xml:space="preserve">I have </w:t>
      </w:r>
      <w:r>
        <w:rPr>
          <w:color w:val="000000" w:themeColor="text1"/>
        </w:rPr>
        <w:t>corrected all the reference mistakes marked in the hard copy of the thesis, which included wrong format of author names, missing journal name, volume, issue or page numbers.</w:t>
      </w:r>
    </w:p>
    <w:p w14:paraId="6D8CF3F8" w14:textId="77777777" w:rsidR="006D30F9" w:rsidRPr="006D30F9" w:rsidRDefault="006D30F9" w:rsidP="006D30F9">
      <w:pPr>
        <w:pStyle w:val="ListParagraph"/>
        <w:autoSpaceDE w:val="0"/>
        <w:autoSpaceDN w:val="0"/>
        <w:adjustRightInd w:val="0"/>
        <w:ind w:left="4330"/>
        <w:rPr>
          <w:rFonts w:eastAsiaTheme="minorHAnsi"/>
          <w:color w:val="FF0000"/>
          <w:lang w:val="en-US"/>
        </w:rPr>
      </w:pPr>
    </w:p>
    <w:p w14:paraId="49E8F2BC" w14:textId="77777777" w:rsidR="00D709D1" w:rsidRPr="00D709D1" w:rsidRDefault="00D709D1" w:rsidP="006E2C58">
      <w:pPr>
        <w:tabs>
          <w:tab w:val="left" w:pos="284"/>
        </w:tabs>
        <w:jc w:val="both"/>
        <w:rPr>
          <w:sz w:val="28"/>
          <w:szCs w:val="28"/>
        </w:rPr>
      </w:pPr>
    </w:p>
    <w:sectPr w:rsidR="00D709D1" w:rsidRPr="00D709D1" w:rsidSect="00864E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50DA7"/>
    <w:multiLevelType w:val="hybridMultilevel"/>
    <w:tmpl w:val="F9968734"/>
    <w:lvl w:ilvl="0" w:tplc="0409000F">
      <w:start w:val="1"/>
      <w:numFmt w:val="decimal"/>
      <w:lvlText w:val="%1."/>
      <w:lvlJc w:val="left"/>
      <w:pPr>
        <w:ind w:left="4330" w:hanging="360"/>
      </w:p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D1"/>
    <w:rsid w:val="0002325B"/>
    <w:rsid w:val="00067AF7"/>
    <w:rsid w:val="000C6ADE"/>
    <w:rsid w:val="000D0B61"/>
    <w:rsid w:val="00126549"/>
    <w:rsid w:val="001F41CB"/>
    <w:rsid w:val="002472A7"/>
    <w:rsid w:val="00297DF3"/>
    <w:rsid w:val="003130AF"/>
    <w:rsid w:val="00323E02"/>
    <w:rsid w:val="003344A2"/>
    <w:rsid w:val="00335FE7"/>
    <w:rsid w:val="003964AA"/>
    <w:rsid w:val="003A1CBE"/>
    <w:rsid w:val="003D0F0D"/>
    <w:rsid w:val="00433AB4"/>
    <w:rsid w:val="004814F2"/>
    <w:rsid w:val="0049262C"/>
    <w:rsid w:val="004A1D1C"/>
    <w:rsid w:val="004A7F75"/>
    <w:rsid w:val="004D7970"/>
    <w:rsid w:val="00523500"/>
    <w:rsid w:val="00564208"/>
    <w:rsid w:val="00582CE4"/>
    <w:rsid w:val="005D2D1C"/>
    <w:rsid w:val="00627402"/>
    <w:rsid w:val="006A2FB8"/>
    <w:rsid w:val="006D30F9"/>
    <w:rsid w:val="006E2C58"/>
    <w:rsid w:val="007100CF"/>
    <w:rsid w:val="0071196B"/>
    <w:rsid w:val="007E06A7"/>
    <w:rsid w:val="00820E72"/>
    <w:rsid w:val="00844E2B"/>
    <w:rsid w:val="00850A84"/>
    <w:rsid w:val="008572FA"/>
    <w:rsid w:val="008573B4"/>
    <w:rsid w:val="00864E51"/>
    <w:rsid w:val="00922F32"/>
    <w:rsid w:val="00945056"/>
    <w:rsid w:val="00963E91"/>
    <w:rsid w:val="009E4B32"/>
    <w:rsid w:val="00A207E5"/>
    <w:rsid w:val="00A641FA"/>
    <w:rsid w:val="00A92B4B"/>
    <w:rsid w:val="00AF19A9"/>
    <w:rsid w:val="00B010D8"/>
    <w:rsid w:val="00B17911"/>
    <w:rsid w:val="00B5748E"/>
    <w:rsid w:val="00B75874"/>
    <w:rsid w:val="00BC6D44"/>
    <w:rsid w:val="00BF2D66"/>
    <w:rsid w:val="00C7405C"/>
    <w:rsid w:val="00CD1D27"/>
    <w:rsid w:val="00D709D1"/>
    <w:rsid w:val="00D861A0"/>
    <w:rsid w:val="00E57853"/>
    <w:rsid w:val="00E846E0"/>
    <w:rsid w:val="00E90754"/>
    <w:rsid w:val="00EA4DFD"/>
    <w:rsid w:val="00F9412F"/>
    <w:rsid w:val="00FB0B70"/>
    <w:rsid w:val="00FE75B8"/>
    <w:rsid w:val="00FE79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306093"/>
  <w15:chartTrackingRefBased/>
  <w15:docId w15:val="{1F08FDA1-7021-394A-A4DF-0294566E5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3E02"/>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95368">
      <w:bodyDiv w:val="1"/>
      <w:marLeft w:val="0"/>
      <w:marRight w:val="0"/>
      <w:marTop w:val="0"/>
      <w:marBottom w:val="0"/>
      <w:divBdr>
        <w:top w:val="none" w:sz="0" w:space="0" w:color="auto"/>
        <w:left w:val="none" w:sz="0" w:space="0" w:color="auto"/>
        <w:bottom w:val="none" w:sz="0" w:space="0" w:color="auto"/>
        <w:right w:val="none" w:sz="0" w:space="0" w:color="auto"/>
      </w:divBdr>
    </w:div>
    <w:div w:id="1864980375">
      <w:bodyDiv w:val="1"/>
      <w:marLeft w:val="0"/>
      <w:marRight w:val="0"/>
      <w:marTop w:val="0"/>
      <w:marBottom w:val="0"/>
      <w:divBdr>
        <w:top w:val="none" w:sz="0" w:space="0" w:color="auto"/>
        <w:left w:val="none" w:sz="0" w:space="0" w:color="auto"/>
        <w:bottom w:val="none" w:sz="0" w:space="0" w:color="auto"/>
        <w:right w:val="none" w:sz="0" w:space="0" w:color="auto"/>
      </w:divBdr>
      <w:divsChild>
        <w:div w:id="1353916215">
          <w:marLeft w:val="0"/>
          <w:marRight w:val="0"/>
          <w:marTop w:val="0"/>
          <w:marBottom w:val="0"/>
          <w:divBdr>
            <w:top w:val="none" w:sz="0" w:space="0" w:color="auto"/>
            <w:left w:val="none" w:sz="0" w:space="0" w:color="auto"/>
            <w:bottom w:val="none" w:sz="0" w:space="0" w:color="auto"/>
            <w:right w:val="none" w:sz="0" w:space="0" w:color="auto"/>
          </w:divBdr>
        </w:div>
        <w:div w:id="377777948">
          <w:marLeft w:val="0"/>
          <w:marRight w:val="0"/>
          <w:marTop w:val="0"/>
          <w:marBottom w:val="0"/>
          <w:divBdr>
            <w:top w:val="none" w:sz="0" w:space="0" w:color="auto"/>
            <w:left w:val="none" w:sz="0" w:space="0" w:color="auto"/>
            <w:bottom w:val="none" w:sz="0" w:space="0" w:color="auto"/>
            <w:right w:val="none" w:sz="0" w:space="0" w:color="auto"/>
          </w:divBdr>
        </w:div>
        <w:div w:id="755253511">
          <w:marLeft w:val="0"/>
          <w:marRight w:val="0"/>
          <w:marTop w:val="0"/>
          <w:marBottom w:val="0"/>
          <w:divBdr>
            <w:top w:val="none" w:sz="0" w:space="0" w:color="auto"/>
            <w:left w:val="none" w:sz="0" w:space="0" w:color="auto"/>
            <w:bottom w:val="none" w:sz="0" w:space="0" w:color="auto"/>
            <w:right w:val="none" w:sz="0" w:space="0" w:color="auto"/>
          </w:divBdr>
        </w:div>
        <w:div w:id="932278325">
          <w:marLeft w:val="0"/>
          <w:marRight w:val="0"/>
          <w:marTop w:val="0"/>
          <w:marBottom w:val="0"/>
          <w:divBdr>
            <w:top w:val="none" w:sz="0" w:space="0" w:color="auto"/>
            <w:left w:val="none" w:sz="0" w:space="0" w:color="auto"/>
            <w:bottom w:val="none" w:sz="0" w:space="0" w:color="auto"/>
            <w:right w:val="none" w:sz="0" w:space="0" w:color="auto"/>
          </w:divBdr>
        </w:div>
        <w:div w:id="1343703688">
          <w:marLeft w:val="0"/>
          <w:marRight w:val="0"/>
          <w:marTop w:val="0"/>
          <w:marBottom w:val="0"/>
          <w:divBdr>
            <w:top w:val="none" w:sz="0" w:space="0" w:color="auto"/>
            <w:left w:val="none" w:sz="0" w:space="0" w:color="auto"/>
            <w:bottom w:val="none" w:sz="0" w:space="0" w:color="auto"/>
            <w:right w:val="none" w:sz="0" w:space="0" w:color="auto"/>
          </w:divBdr>
        </w:div>
        <w:div w:id="1772164791">
          <w:marLeft w:val="0"/>
          <w:marRight w:val="0"/>
          <w:marTop w:val="0"/>
          <w:marBottom w:val="0"/>
          <w:divBdr>
            <w:top w:val="none" w:sz="0" w:space="0" w:color="auto"/>
            <w:left w:val="none" w:sz="0" w:space="0" w:color="auto"/>
            <w:bottom w:val="none" w:sz="0" w:space="0" w:color="auto"/>
            <w:right w:val="none" w:sz="0" w:space="0" w:color="auto"/>
          </w:divBdr>
        </w:div>
        <w:div w:id="1888760180">
          <w:marLeft w:val="0"/>
          <w:marRight w:val="0"/>
          <w:marTop w:val="0"/>
          <w:marBottom w:val="0"/>
          <w:divBdr>
            <w:top w:val="none" w:sz="0" w:space="0" w:color="auto"/>
            <w:left w:val="none" w:sz="0" w:space="0" w:color="auto"/>
            <w:bottom w:val="none" w:sz="0" w:space="0" w:color="auto"/>
            <w:right w:val="none" w:sz="0" w:space="0" w:color="auto"/>
          </w:divBdr>
        </w:div>
        <w:div w:id="1037857804">
          <w:marLeft w:val="0"/>
          <w:marRight w:val="0"/>
          <w:marTop w:val="0"/>
          <w:marBottom w:val="0"/>
          <w:divBdr>
            <w:top w:val="none" w:sz="0" w:space="0" w:color="auto"/>
            <w:left w:val="none" w:sz="0" w:space="0" w:color="auto"/>
            <w:bottom w:val="none" w:sz="0" w:space="0" w:color="auto"/>
            <w:right w:val="none" w:sz="0" w:space="0" w:color="auto"/>
          </w:divBdr>
        </w:div>
        <w:div w:id="228270242">
          <w:marLeft w:val="0"/>
          <w:marRight w:val="0"/>
          <w:marTop w:val="0"/>
          <w:marBottom w:val="0"/>
          <w:divBdr>
            <w:top w:val="none" w:sz="0" w:space="0" w:color="auto"/>
            <w:left w:val="none" w:sz="0" w:space="0" w:color="auto"/>
            <w:bottom w:val="none" w:sz="0" w:space="0" w:color="auto"/>
            <w:right w:val="none" w:sz="0" w:space="0" w:color="auto"/>
          </w:divBdr>
        </w:div>
        <w:div w:id="1877964563">
          <w:marLeft w:val="0"/>
          <w:marRight w:val="0"/>
          <w:marTop w:val="0"/>
          <w:marBottom w:val="0"/>
          <w:divBdr>
            <w:top w:val="none" w:sz="0" w:space="0" w:color="auto"/>
            <w:left w:val="none" w:sz="0" w:space="0" w:color="auto"/>
            <w:bottom w:val="none" w:sz="0" w:space="0" w:color="auto"/>
            <w:right w:val="none" w:sz="0" w:space="0" w:color="auto"/>
          </w:divBdr>
        </w:div>
        <w:div w:id="1133864063">
          <w:marLeft w:val="0"/>
          <w:marRight w:val="0"/>
          <w:marTop w:val="0"/>
          <w:marBottom w:val="0"/>
          <w:divBdr>
            <w:top w:val="none" w:sz="0" w:space="0" w:color="auto"/>
            <w:left w:val="none" w:sz="0" w:space="0" w:color="auto"/>
            <w:bottom w:val="none" w:sz="0" w:space="0" w:color="auto"/>
            <w:right w:val="none" w:sz="0" w:space="0" w:color="auto"/>
          </w:divBdr>
        </w:div>
        <w:div w:id="346297031">
          <w:marLeft w:val="0"/>
          <w:marRight w:val="0"/>
          <w:marTop w:val="0"/>
          <w:marBottom w:val="0"/>
          <w:divBdr>
            <w:top w:val="none" w:sz="0" w:space="0" w:color="auto"/>
            <w:left w:val="none" w:sz="0" w:space="0" w:color="auto"/>
            <w:bottom w:val="none" w:sz="0" w:space="0" w:color="auto"/>
            <w:right w:val="none" w:sz="0" w:space="0" w:color="auto"/>
          </w:divBdr>
        </w:div>
      </w:divsChild>
    </w:div>
    <w:div w:id="211512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9</Pages>
  <Words>4363</Words>
  <Characters>24870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cp:lastPrinted>2019-08-26T15:13:00Z</cp:lastPrinted>
  <dcterms:created xsi:type="dcterms:W3CDTF">2019-08-24T15:30:00Z</dcterms:created>
  <dcterms:modified xsi:type="dcterms:W3CDTF">2019-09-08T10:29:00Z</dcterms:modified>
</cp:coreProperties>
</file>