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3E227" w14:textId="4E1BA5D1" w:rsidR="008D2EA7" w:rsidRDefault="00783E6B" w:rsidP="00AE6459">
      <w:r w:rsidRPr="00783E6B">
        <w:t xml:space="preserve">T </w:t>
      </w:r>
      <w:r w:rsidR="00AE6459">
        <w:t>lymphocytes have</w:t>
      </w:r>
      <w:r w:rsidRPr="00783E6B">
        <w:t xml:space="preserve"> been considered the m</w:t>
      </w:r>
      <w:r w:rsidR="00FB5673">
        <w:t xml:space="preserve">ost relevant cell types in the </w:t>
      </w:r>
      <w:r w:rsidR="002209DF">
        <w:t xml:space="preserve">initiation </w:t>
      </w:r>
      <w:r w:rsidR="00A15956" w:rsidRPr="00783E6B">
        <w:t>and maintenance of psoriasis and</w:t>
      </w:r>
      <w:r w:rsidRPr="00783E6B">
        <w:t xml:space="preserve"> PsA. </w:t>
      </w:r>
      <w:r w:rsidR="00D7492D">
        <w:t xml:space="preserve"> </w:t>
      </w:r>
      <w:r w:rsidR="00172A29">
        <w:t>S</w:t>
      </w:r>
      <w:r w:rsidR="007C0E70">
        <w:t xml:space="preserve">kin-resident memory T cells have been demonstrated to have a </w:t>
      </w:r>
      <w:r w:rsidR="0029720B">
        <w:t>key</w:t>
      </w:r>
      <w:r w:rsidR="007C0E70">
        <w:t xml:space="preserve"> role in psoriatic lesion development in mice models \parencite{Boyle2004}. </w:t>
      </w:r>
      <w:r w:rsidR="0029720B">
        <w:t>In human case reports, b</w:t>
      </w:r>
      <w:r w:rsidRPr="00783E6B">
        <w:t xml:space="preserve">one marrow transplantation </w:t>
      </w:r>
      <w:r w:rsidR="0029720B">
        <w:t xml:space="preserve">has shown </w:t>
      </w:r>
      <w:r w:rsidR="00C3725E">
        <w:t>to cause</w:t>
      </w:r>
      <w:r w:rsidRPr="00783E6B">
        <w:t xml:space="preserve"> initiation or termination of </w:t>
      </w:r>
      <w:r w:rsidR="009E47C0">
        <w:t>psoriasis \parencite{Gardembas1990; Eedy1990}</w:t>
      </w:r>
      <w:r w:rsidR="003A0C58">
        <w:t>.</w:t>
      </w:r>
      <w:r w:rsidR="0043099C">
        <w:t xml:space="preserve"> </w:t>
      </w:r>
      <w:r w:rsidR="0043099C" w:rsidRPr="00BB6C4C">
        <w:t xml:space="preserve">\textit{In vivo} studies </w:t>
      </w:r>
      <w:r w:rsidR="00C3725E">
        <w:t>demonstrated</w:t>
      </w:r>
      <w:r w:rsidR="0043099C" w:rsidRPr="00BB6C4C">
        <w:t xml:space="preserve"> that </w:t>
      </w:r>
      <w:r w:rsidR="00C3725E">
        <w:t xml:space="preserve">transition to psoriatic </w:t>
      </w:r>
      <w:r w:rsidR="006649B7">
        <w:t>lesions</w:t>
      </w:r>
      <w:r w:rsidR="0043099C" w:rsidRPr="00BB6C4C">
        <w:t xml:space="preserve"> following engrafted human pre-lesional skin </w:t>
      </w:r>
      <w:r w:rsidR="0043099C">
        <w:t xml:space="preserve">in immune-deficient mice </w:t>
      </w:r>
      <w:r w:rsidR="0043099C" w:rsidRPr="00BB6C4C">
        <w:t xml:space="preserve">was only dependent on </w:t>
      </w:r>
      <w:r w:rsidR="0043099C">
        <w:t xml:space="preserve">T cells </w:t>
      </w:r>
      <w:r w:rsidR="00C2263F">
        <w:t xml:space="preserve">requiring </w:t>
      </w:r>
      <w:r w:rsidR="0043099C">
        <w:t xml:space="preserve">injection of </w:t>
      </w:r>
      <w:r w:rsidR="0067654D">
        <w:t>autologous activated</w:t>
      </w:r>
      <w:r w:rsidR="0043099C">
        <w:t xml:space="preserve"> </w:t>
      </w:r>
      <w:r w:rsidR="0043099C" w:rsidRPr="00BB6C4C">
        <w:t>CD4</w:t>
      </w:r>
      <w:r w:rsidR="0043099C">
        <w:t>$^+$</w:t>
      </w:r>
      <w:r w:rsidR="0043099C" w:rsidRPr="00BB6C4C">
        <w:t xml:space="preserve"> not CD8</w:t>
      </w:r>
      <w:r w:rsidR="0043099C">
        <w:t>$^+$</w:t>
      </w:r>
      <w:r w:rsidR="0043099C" w:rsidRPr="00BB6C4C">
        <w:t xml:space="preserve"> cells</w:t>
      </w:r>
      <w:r w:rsidR="0043099C">
        <w:t xml:space="preserve"> </w:t>
      </w:r>
      <w:r w:rsidR="0043099C" w:rsidRPr="00BB6C4C">
        <w:t>\parencite{Wron</w:t>
      </w:r>
      <w:r w:rsidR="0043099C">
        <w:t>e-Smith1996}</w:t>
      </w:r>
      <w:r w:rsidR="0043099C" w:rsidRPr="00BB6C4C">
        <w:t xml:space="preserve">. </w:t>
      </w:r>
      <w:r w:rsidR="0043099C">
        <w:t>Nevertheless</w:t>
      </w:r>
      <w:r w:rsidR="00F11A4F">
        <w:t xml:space="preserve">, </w:t>
      </w:r>
      <w:r w:rsidR="00C2263F">
        <w:t>preferential migration</w:t>
      </w:r>
      <w:r w:rsidR="0043099C">
        <w:t xml:space="preserve"> into the epidermis and clonal populations T cells have only been isolated for CD8$^+$ </w:t>
      </w:r>
      <w:r w:rsidR="00F11A4F">
        <w:t xml:space="preserve"> cells </w:t>
      </w:r>
      <w:r w:rsidR="0043099C">
        <w:t>\parencite{</w:t>
      </w:r>
      <w:r w:rsidR="0043099C" w:rsidRPr="00BB6C4C">
        <w:t>Wrone-Smith</w:t>
      </w:r>
      <w:r w:rsidR="0043099C">
        <w:t>1996,</w:t>
      </w:r>
      <w:r w:rsidR="0043099C" w:rsidRPr="00BB6C4C">
        <w:t xml:space="preserve"> </w:t>
      </w:r>
      <w:r w:rsidR="0043099C">
        <w:t xml:space="preserve">Chang1994}. </w:t>
      </w:r>
      <w:r w:rsidR="007272AC">
        <w:t>%</w:t>
      </w:r>
      <w:r w:rsidR="0043099C">
        <w:t>Altogether, this may suggest that CD4$^+$ are drivers of T cell activation but resident CD8$^+$ are the main effector cells in the dysregulated psoriasis immune response</w:t>
      </w:r>
      <w:r w:rsidR="005A67FE">
        <w:t>.</w:t>
      </w:r>
      <w:r w:rsidR="00E73007">
        <w:t xml:space="preserve"> </w:t>
      </w:r>
    </w:p>
    <w:p w14:paraId="33A7A649" w14:textId="40092234" w:rsidR="00A477F6" w:rsidRDefault="00E73007" w:rsidP="00A477F6">
      <w:r>
        <w:t xml:space="preserve">In </w:t>
      </w:r>
      <w:r w:rsidRPr="00BB6C4C">
        <w:t>psoriasis</w:t>
      </w:r>
      <w:r w:rsidR="00A02FE7">
        <w:t xml:space="preserve"> and PsA,</w:t>
      </w:r>
      <w:r w:rsidR="00535CB5">
        <w:t xml:space="preserve"> IL</w:t>
      </w:r>
      <w:r w:rsidR="003664AE">
        <w:t>-</w:t>
      </w:r>
      <w:r>
        <w:t xml:space="preserve">23 </w:t>
      </w:r>
      <w:r w:rsidR="00535CB5">
        <w:t>together with other cytokines</w:t>
      </w:r>
      <w:r w:rsidR="000C4DA5">
        <w:t>,</w:t>
      </w:r>
      <w:r w:rsidR="00535CB5">
        <w:t xml:space="preserve"> including IL</w:t>
      </w:r>
      <w:r w:rsidR="00801616">
        <w:t>-</w:t>
      </w:r>
      <w:r w:rsidR="00535CB5">
        <w:t xml:space="preserve">1$\beta$ and IL6, induce </w:t>
      </w:r>
      <w:r w:rsidR="00345CF6">
        <w:t xml:space="preserve">activation </w:t>
      </w:r>
      <w:r w:rsidR="00CB39C7">
        <w:t xml:space="preserve">and differentiation of </w:t>
      </w:r>
      <w:r w:rsidR="000C4DA5">
        <w:t>na\</w:t>
      </w:r>
      <w:r w:rsidR="00801616">
        <w:t>”</w:t>
      </w:r>
      <w:r w:rsidR="000C4DA5">
        <w:t>{i}</w:t>
      </w:r>
      <w:r w:rsidR="00241A06">
        <w:t xml:space="preserve">ve </w:t>
      </w:r>
      <w:r w:rsidR="00345CF6">
        <w:t xml:space="preserve">CD4$^+$ </w:t>
      </w:r>
      <w:r w:rsidR="00E2318D">
        <w:t>and CD8$^+$</w:t>
      </w:r>
      <w:r w:rsidR="00345CF6">
        <w:t xml:space="preserve"> into </w:t>
      </w:r>
      <w:r w:rsidR="00A46E30">
        <w:t xml:space="preserve">pathogenic </w:t>
      </w:r>
      <w:r w:rsidR="00345CF6">
        <w:t>Th-17</w:t>
      </w:r>
      <w:r w:rsidR="006C63B3">
        <w:t xml:space="preserve"> and Tc17</w:t>
      </w:r>
      <w:r w:rsidR="00E2318D">
        <w:t xml:space="preserve"> cells</w:t>
      </w:r>
      <w:r w:rsidR="006C63B3">
        <w:t xml:space="preserve"> producing</w:t>
      </w:r>
      <w:r w:rsidR="00801616">
        <w:t xml:space="preserve"> IL-17</w:t>
      </w:r>
      <w:r w:rsidR="00885513">
        <w:t xml:space="preserve"> \parencite{Weaver2007}.</w:t>
      </w:r>
      <w:r w:rsidR="006C63B3">
        <w:t xml:space="preserve"> </w:t>
      </w:r>
      <w:r w:rsidR="00BE43C7" w:rsidRPr="00BB6C4C">
        <w:t>IL-17</w:t>
      </w:r>
      <w:r w:rsidR="00BE43C7">
        <w:t>$^+$</w:t>
      </w:r>
      <w:r w:rsidR="00BE43C7" w:rsidRPr="00BB6C4C">
        <w:t xml:space="preserve"> CD8</w:t>
      </w:r>
      <w:r w:rsidR="00BE43C7">
        <w:t>$^+$ cells ha</w:t>
      </w:r>
      <w:r w:rsidR="004E2258">
        <w:t>ve</w:t>
      </w:r>
      <w:r w:rsidR="00BE43C7">
        <w:t xml:space="preserve"> been found in</w:t>
      </w:r>
      <w:r w:rsidR="008F45C1">
        <w:t xml:space="preserve"> psoriatic skin and</w:t>
      </w:r>
      <w:r w:rsidR="00C357AE">
        <w:t xml:space="preserve"> are enriched</w:t>
      </w:r>
      <w:r w:rsidR="008F45C1">
        <w:t xml:space="preserve"> in </w:t>
      </w:r>
      <w:r w:rsidR="00BE43C7">
        <w:t>PsA synovial fluid</w:t>
      </w:r>
      <w:r w:rsidR="00C357AE">
        <w:t xml:space="preserve"> when compared to peripheral blood</w:t>
      </w:r>
      <w:r w:rsidR="00BE43C7">
        <w:t xml:space="preserve">, </w:t>
      </w:r>
      <w:r w:rsidR="004E2258">
        <w:t>showing correlation</w:t>
      </w:r>
      <w:r w:rsidR="00C357AE">
        <w:t xml:space="preserve"> with</w:t>
      </w:r>
      <w:r w:rsidR="00BE43C7" w:rsidRPr="00BB6C4C">
        <w:t xml:space="preserve"> markers of inflammation and structural changes in </w:t>
      </w:r>
      <w:r w:rsidR="00BE43C7">
        <w:t xml:space="preserve">the </w:t>
      </w:r>
      <w:r w:rsidR="00BE43C7" w:rsidRPr="00BB6C4C">
        <w:t>jo</w:t>
      </w:r>
      <w:r w:rsidR="00BE43C7">
        <w:t>int</w:t>
      </w:r>
      <w:r w:rsidR="008F45C1">
        <w:t xml:space="preserve"> </w:t>
      </w:r>
      <w:r w:rsidR="00BE43C7">
        <w:t>\parencite{</w:t>
      </w:r>
      <w:r w:rsidR="00BE43C7" w:rsidRPr="00BB6C4C">
        <w:t>Menon2014</w:t>
      </w:r>
      <w:r w:rsidR="00684B06">
        <w:t>,</w:t>
      </w:r>
      <w:r w:rsidR="0062221F">
        <w:t>Ortega2009</w:t>
      </w:r>
      <w:r w:rsidR="00BE43C7" w:rsidRPr="00BB6C4C">
        <w:t xml:space="preserve">). </w:t>
      </w:r>
      <w:r w:rsidR="00927CF6">
        <w:t>Likewise,</w:t>
      </w:r>
      <w:r w:rsidR="00844BBB">
        <w:t xml:space="preserve"> Th-17</w:t>
      </w:r>
      <w:r w:rsidR="003E138D">
        <w:t xml:space="preserve"> </w:t>
      </w:r>
      <w:r w:rsidR="00A477F6">
        <w:t xml:space="preserve">infiltrated cells have been found in </w:t>
      </w:r>
      <w:r w:rsidR="004E2258">
        <w:t xml:space="preserve">the epidermis of psoriatic lesions </w:t>
      </w:r>
      <w:r w:rsidR="00A477F6">
        <w:t>\parencite{</w:t>
      </w:r>
      <w:r w:rsidR="00844BBB">
        <w:t>Lowes2008</w:t>
      </w:r>
      <w:r w:rsidR="00A477F6">
        <w:t>,</w:t>
      </w:r>
      <w:r w:rsidR="003E138D">
        <w:t xml:space="preserve"> Pene2008</w:t>
      </w:r>
      <w:r w:rsidR="00A477F6">
        <w:t>}.</w:t>
      </w:r>
      <w:r w:rsidR="00927CF6">
        <w:t xml:space="preserve"> </w:t>
      </w:r>
      <w:r w:rsidR="00A477F6">
        <w:t xml:space="preserve">Additionally, </w:t>
      </w:r>
      <w:r w:rsidR="00A477F6" w:rsidRPr="00BB6C4C">
        <w:t>IL-12 and IFN</w:t>
      </w:r>
      <w:r w:rsidR="00A477F6" w:rsidRPr="00633016">
        <w:t>-$\gamma$ lead</w:t>
      </w:r>
      <w:r w:rsidR="00A477F6">
        <w:rPr>
          <w:i/>
        </w:rPr>
        <w:t xml:space="preserve"> to </w:t>
      </w:r>
      <w:r w:rsidR="00A477F6">
        <w:t>expansion of</w:t>
      </w:r>
      <w:r w:rsidR="00A477F6">
        <w:rPr>
          <w:i/>
        </w:rPr>
        <w:t xml:space="preserve"> </w:t>
      </w:r>
      <w:r w:rsidR="00A477F6" w:rsidRPr="00BB6C4C">
        <w:t>Th</w:t>
      </w:r>
      <w:r w:rsidR="008E30D7">
        <w:t xml:space="preserve">-1 and </w:t>
      </w:r>
      <w:r w:rsidR="00A477F6">
        <w:t>Tc-1 cells</w:t>
      </w:r>
      <w:r w:rsidR="00A477F6" w:rsidRPr="00BB6C4C">
        <w:t>,</w:t>
      </w:r>
      <w:r w:rsidR="00A477F6">
        <w:t xml:space="preserve"> which contribute to perpetuation of the immune response through IFN$\gamma$ and IL-18 production in psoriasis and PsA \parencite{Austin1999,</w:t>
      </w:r>
      <w:r w:rsidR="00A477F6" w:rsidRPr="00BB6C4C">
        <w:t xml:space="preserve"> </w:t>
      </w:r>
      <w:r w:rsidR="00A477F6">
        <w:t>Perera2012</w:t>
      </w:r>
      <w:r w:rsidR="00410B55">
        <w:t>,</w:t>
      </w:r>
      <w:r w:rsidR="00410B55" w:rsidRPr="00410B55">
        <w:t xml:space="preserve"> </w:t>
      </w:r>
      <w:r w:rsidR="00410B55">
        <w:t>Cai2012,</w:t>
      </w:r>
      <w:r w:rsidR="00410B55" w:rsidRPr="00BB6C4C">
        <w:t xml:space="preserve"> Dolcino2015</w:t>
      </w:r>
      <w:r w:rsidR="00A477F6">
        <w:t>}</w:t>
      </w:r>
      <w:r w:rsidR="00410B55">
        <w:t>.</w:t>
      </w:r>
    </w:p>
    <w:p w14:paraId="1CC0F572" w14:textId="581743E1" w:rsidR="00A477F6" w:rsidRDefault="00684B06" w:rsidP="00AE6459">
      <w:r>
        <w:t>%</w:t>
      </w:r>
      <w:r w:rsidR="004E5C91">
        <w:t>Elevated</w:t>
      </w:r>
      <w:r w:rsidR="00BE43C7" w:rsidRPr="00BB6C4C">
        <w:t xml:space="preserve"> </w:t>
      </w:r>
      <w:r w:rsidR="004E5C91">
        <w:t xml:space="preserve">IL-17 </w:t>
      </w:r>
      <w:r w:rsidR="00BE43C7" w:rsidRPr="00BB6C4C">
        <w:t xml:space="preserve">mRNA and protein levels </w:t>
      </w:r>
      <w:r w:rsidR="004E5C91">
        <w:t>have also been</w:t>
      </w:r>
      <w:r w:rsidR="00BE43C7">
        <w:t xml:space="preserve"> </w:t>
      </w:r>
      <w:r w:rsidR="00BE43C7" w:rsidRPr="00BB6C4C">
        <w:t xml:space="preserve">reported in psoriasis and PsA patients compared to controls </w:t>
      </w:r>
      <w:r w:rsidR="00BE43C7">
        <w:t>\parencite{Cai</w:t>
      </w:r>
      <w:r w:rsidR="00BE43C7" w:rsidRPr="00BB6C4C">
        <w:t>2012; Dolcino2015).</w:t>
      </w:r>
      <w:r w:rsidR="004E5C91">
        <w:t xml:space="preserve"> </w:t>
      </w:r>
      <w:r w:rsidR="008D2EA7">
        <w:t xml:space="preserve"> </w:t>
      </w:r>
    </w:p>
    <w:p w14:paraId="56321379" w14:textId="5A21D9CE" w:rsidR="00E63D22" w:rsidRDefault="00E63D22" w:rsidP="00BB6C4C"/>
    <w:p w14:paraId="5FAD8D4C" w14:textId="17B48948" w:rsidR="00E63D22" w:rsidRDefault="009C3E14" w:rsidP="00BB6C4C">
      <w:r>
        <w:t>NK</w:t>
      </w:r>
    </w:p>
    <w:p w14:paraId="6D1A0FD0" w14:textId="06753FE6" w:rsidR="00F919E7" w:rsidRDefault="00767ABD" w:rsidP="003B08FF">
      <w:pPr>
        <w:rPr>
          <w:color w:val="000000"/>
          <w:shd w:val="clear" w:color="auto" w:fill="FFFFFF"/>
        </w:rPr>
      </w:pPr>
      <w:r>
        <w:rPr>
          <w:color w:val="000000"/>
          <w:shd w:val="clear" w:color="auto" w:fill="FFFFFF"/>
        </w:rPr>
        <w:t>NK cells</w:t>
      </w:r>
      <w:r w:rsidR="00902B9F">
        <w:rPr>
          <w:color w:val="000000"/>
          <w:shd w:val="clear" w:color="auto" w:fill="FFFFFF"/>
        </w:rPr>
        <w:t xml:space="preserve"> </w:t>
      </w:r>
      <w:r w:rsidR="00735683">
        <w:rPr>
          <w:color w:val="000000"/>
          <w:shd w:val="clear" w:color="auto" w:fill="FFFFFF"/>
        </w:rPr>
        <w:t>are lymphoid</w:t>
      </w:r>
      <w:r w:rsidR="00D74B0D">
        <w:rPr>
          <w:color w:val="000000"/>
          <w:shd w:val="clear" w:color="auto" w:fill="FFFFFF"/>
        </w:rPr>
        <w:t xml:space="preserve">-derived innate immune cells </w:t>
      </w:r>
      <w:r>
        <w:rPr>
          <w:color w:val="000000"/>
          <w:shd w:val="clear" w:color="auto" w:fill="FFFFFF"/>
        </w:rPr>
        <w:t xml:space="preserve">identified as CD3$^-$ CD56$^+$. The majority of circulating NK cells (90\%) are </w:t>
      </w:r>
      <w:r w:rsidR="006D4E95">
        <w:rPr>
          <w:color w:val="000000"/>
          <w:shd w:val="clear" w:color="auto" w:fill="FFFFFF"/>
        </w:rPr>
        <w:t>CD56$^{dim}$ and show strong cytotoxicity driven by high conte</w:t>
      </w:r>
      <w:r w:rsidR="00DE29A3">
        <w:rPr>
          <w:color w:val="000000"/>
          <w:shd w:val="clear" w:color="auto" w:fill="FFFFFF"/>
        </w:rPr>
        <w:t>nt of perforin and granzymes \parencite{Mandal2014}</w:t>
      </w:r>
      <w:r w:rsidR="006D4E95">
        <w:rPr>
          <w:color w:val="000000"/>
          <w:shd w:val="clear" w:color="auto" w:fill="FFFFFF"/>
        </w:rPr>
        <w:t>. In contrast</w:t>
      </w:r>
      <w:r w:rsidR="00D026F2">
        <w:rPr>
          <w:color w:val="000000"/>
          <w:shd w:val="clear" w:color="auto" w:fill="FFFFFF"/>
        </w:rPr>
        <w:t>,</w:t>
      </w:r>
      <w:r w:rsidR="006D4E95">
        <w:rPr>
          <w:color w:val="000000"/>
          <w:shd w:val="clear" w:color="auto" w:fill="FFFFFF"/>
        </w:rPr>
        <w:t xml:space="preserve"> CD56$^</w:t>
      </w:r>
      <w:r w:rsidR="00BC518C">
        <w:rPr>
          <w:color w:val="000000"/>
          <w:shd w:val="clear" w:color="auto" w:fill="FFFFFF"/>
        </w:rPr>
        <w:t>{bright</w:t>
      </w:r>
      <w:r w:rsidR="006D4E95">
        <w:rPr>
          <w:color w:val="000000"/>
          <w:shd w:val="clear" w:color="auto" w:fill="FFFFFF"/>
        </w:rPr>
        <w:t xml:space="preserve">}$  </w:t>
      </w:r>
      <w:r w:rsidR="00F55491">
        <w:rPr>
          <w:color w:val="000000"/>
          <w:shd w:val="clear" w:color="auto" w:fill="FFFFFF"/>
        </w:rPr>
        <w:t>commonly infiltrate into</w:t>
      </w:r>
      <w:r w:rsidR="00114F78">
        <w:rPr>
          <w:color w:val="000000"/>
          <w:shd w:val="clear" w:color="auto" w:fill="FFFFFF"/>
        </w:rPr>
        <w:t xml:space="preserve"> second lymph organs and other tissues, </w:t>
      </w:r>
      <w:r w:rsidR="009C2F7B">
        <w:rPr>
          <w:color w:val="000000"/>
          <w:shd w:val="clear" w:color="auto" w:fill="FFFFFF"/>
        </w:rPr>
        <w:t xml:space="preserve">where they </w:t>
      </w:r>
      <w:r w:rsidR="00F55491">
        <w:rPr>
          <w:color w:val="000000"/>
          <w:shd w:val="clear" w:color="auto" w:fill="FFFFFF"/>
        </w:rPr>
        <w:t>are activated</w:t>
      </w:r>
      <w:r w:rsidR="00114F78">
        <w:rPr>
          <w:color w:val="000000"/>
          <w:shd w:val="clear" w:color="auto" w:fill="FFFFFF"/>
        </w:rPr>
        <w:t xml:space="preserve"> by DCs and </w:t>
      </w:r>
      <w:r w:rsidR="003A2FE2">
        <w:rPr>
          <w:color w:val="000000"/>
          <w:shd w:val="clear" w:color="auto" w:fill="FFFFFF"/>
        </w:rPr>
        <w:t>produce immunoregulatory cytokines such as IFN-</w:t>
      </w:r>
      <w:r w:rsidR="003C14B3">
        <w:rPr>
          <w:color w:val="000000"/>
          <w:shd w:val="clear" w:color="auto" w:fill="FFFFFF"/>
        </w:rPr>
        <w:t>$</w:t>
      </w:r>
      <w:r w:rsidR="003F1681">
        <w:rPr>
          <w:color w:val="000000"/>
          <w:shd w:val="clear" w:color="auto" w:fill="FFFFFF"/>
        </w:rPr>
        <w:t>\gamma</w:t>
      </w:r>
      <w:r w:rsidR="003C14B3">
        <w:rPr>
          <w:color w:val="000000"/>
          <w:shd w:val="clear" w:color="auto" w:fill="FFFFFF"/>
        </w:rPr>
        <w:t>$</w:t>
      </w:r>
      <w:r w:rsidR="00D026F2">
        <w:rPr>
          <w:color w:val="000000"/>
          <w:shd w:val="clear" w:color="auto" w:fill="FFFFFF"/>
        </w:rPr>
        <w:t xml:space="preserve">, </w:t>
      </w:r>
      <w:r w:rsidR="00F55491">
        <w:rPr>
          <w:color w:val="000000"/>
          <w:shd w:val="clear" w:color="auto" w:fill="FFFFFF"/>
        </w:rPr>
        <w:t>promoting</w:t>
      </w:r>
      <w:r w:rsidR="00114F78">
        <w:rPr>
          <w:color w:val="000000"/>
          <w:shd w:val="clear" w:color="auto" w:fill="FFFFFF"/>
        </w:rPr>
        <w:t xml:space="preserve"> </w:t>
      </w:r>
      <w:r w:rsidR="00FC7148">
        <w:rPr>
          <w:color w:val="000000"/>
          <w:shd w:val="clear" w:color="auto" w:fill="FFFFFF"/>
        </w:rPr>
        <w:t xml:space="preserve">Th-1 expansion and the adaptive immune response </w:t>
      </w:r>
      <w:r w:rsidR="00124919">
        <w:rPr>
          <w:color w:val="000000"/>
          <w:shd w:val="clear" w:color="auto" w:fill="FFFFFF"/>
        </w:rPr>
        <w:t>\parencite{Martin-Fontecha2004</w:t>
      </w:r>
      <w:r w:rsidR="00B95DEF">
        <w:rPr>
          <w:color w:val="000000"/>
          <w:shd w:val="clear" w:color="auto" w:fill="FFFFFF"/>
        </w:rPr>
        <w:t>,Ferlazzo2004</w:t>
      </w:r>
      <w:r w:rsidR="00124919">
        <w:rPr>
          <w:color w:val="000000"/>
          <w:shd w:val="clear" w:color="auto" w:fill="FFFFFF"/>
        </w:rPr>
        <w:t>}</w:t>
      </w:r>
      <w:r w:rsidR="00B95DEF">
        <w:rPr>
          <w:color w:val="000000"/>
          <w:shd w:val="clear" w:color="auto" w:fill="FFFFFF"/>
        </w:rPr>
        <w:t>.</w:t>
      </w:r>
      <w:r w:rsidR="00D352F3">
        <w:rPr>
          <w:color w:val="000000"/>
          <w:shd w:val="clear" w:color="auto" w:fill="FFFFFF"/>
        </w:rPr>
        <w:t xml:space="preserve"> </w:t>
      </w:r>
      <w:r w:rsidR="00EF2D5F">
        <w:rPr>
          <w:color w:val="000000"/>
          <w:shd w:val="clear" w:color="auto" w:fill="FFFFFF"/>
        </w:rPr>
        <w:t>In psoriasis</w:t>
      </w:r>
      <w:r w:rsidR="00497D70">
        <w:rPr>
          <w:color w:val="000000"/>
          <w:shd w:val="clear" w:color="auto" w:fill="FFFFFF"/>
        </w:rPr>
        <w:t>,</w:t>
      </w:r>
      <w:r w:rsidR="00EF2D5F">
        <w:rPr>
          <w:color w:val="000000"/>
          <w:shd w:val="clear" w:color="auto" w:fill="FFFFFF"/>
        </w:rPr>
        <w:t xml:space="preserve"> significant increase of cells expressing NK markers </w:t>
      </w:r>
      <w:r w:rsidR="00C02917">
        <w:t>have been</w:t>
      </w:r>
      <w:r w:rsidR="00EF2D5F">
        <w:t xml:space="preserve"> found in lesional </w:t>
      </w:r>
      <w:r w:rsidR="00497D70">
        <w:t xml:space="preserve">compared to uninvolved skin \parencite{Cameron2002,Ottaviani2006}. </w:t>
      </w:r>
      <w:r w:rsidR="00C02917">
        <w:t xml:space="preserve"> </w:t>
      </w:r>
      <w:r w:rsidR="00D352F3">
        <w:t>%</w:t>
      </w:r>
      <w:r w:rsidR="00C02917">
        <w:t xml:space="preserve">with </w:t>
      </w:r>
      <w:r w:rsidR="00C52B7C">
        <w:t>NK CD56$^{bright}$</w:t>
      </w:r>
      <w:r w:rsidR="00EF2D5F">
        <w:t xml:space="preserve"> </w:t>
      </w:r>
      <w:r w:rsidR="00DA2FF9">
        <w:t xml:space="preserve">cells </w:t>
      </w:r>
      <w:r w:rsidR="00C52B7C">
        <w:t xml:space="preserve">isolated from acute plaque lesions </w:t>
      </w:r>
      <w:r w:rsidR="002E7D6A">
        <w:t>producing abundant</w:t>
      </w:r>
      <w:r w:rsidR="00DA2FF9">
        <w:t xml:space="preserve"> IFN-$\gamma$</w:t>
      </w:r>
      <w:r w:rsidR="00F36C0E">
        <w:t xml:space="preserve"> upon activating stimuli \parencite{</w:t>
      </w:r>
      <w:r w:rsidR="00F01CDE">
        <w:t>Cameron2002,</w:t>
      </w:r>
      <w:r w:rsidR="00FE6697">
        <w:t>Ottaviani2006</w:t>
      </w:r>
      <w:r w:rsidR="00F36C0E">
        <w:t>}</w:t>
      </w:r>
      <w:r w:rsidR="00EF2D5F">
        <w:t xml:space="preserve"> .</w:t>
      </w:r>
      <w:r w:rsidR="00097619">
        <w:t xml:space="preserve"> Expansion of NK CD3$^-$ CD56$^{bright}$ </w:t>
      </w:r>
      <w:r w:rsidR="00D31684">
        <w:t>cells in inflamed joints was observed in a cohort including RA, PsA and AS patients \parencite{Dalbeth2002}</w:t>
      </w:r>
      <w:r w:rsidR="000B3470">
        <w:t>. Moreover, NK cells in RA have shown to</w:t>
      </w:r>
      <w:r w:rsidR="004817F5" w:rsidRPr="004817F5">
        <w:t xml:space="preserve"> trigger osteoclastogenesis and bone destruction in </w:t>
      </w:r>
      <w:r w:rsidR="000B3470">
        <w:t>vitro and in mice</w:t>
      </w:r>
      <w:r w:rsidR="00640086">
        <w:t xml:space="preserve"> models \parencite{Soderstrom</w:t>
      </w:r>
      <w:r w:rsidR="009C1D38">
        <w:t>2010</w:t>
      </w:r>
      <w:r w:rsidR="00640086">
        <w:t>}</w:t>
      </w:r>
      <w:r w:rsidR="004817F5">
        <w:t xml:space="preserve"> </w:t>
      </w:r>
      <w:r w:rsidR="00D31684">
        <w:t xml:space="preserve">. </w:t>
      </w:r>
      <w:r w:rsidR="009E1DD0">
        <w:t>%</w:t>
      </w:r>
      <w:r w:rsidR="00D31684">
        <w:t xml:space="preserve">Moreover, </w:t>
      </w:r>
      <w:r w:rsidR="00DD0B20">
        <w:rPr>
          <w:color w:val="000000"/>
          <w:shd w:val="clear" w:color="auto" w:fill="FFFFFF"/>
        </w:rPr>
        <w:t xml:space="preserve">the cytokine IL-15, which is highly present in the </w:t>
      </w:r>
      <w:r w:rsidR="00DD0B20" w:rsidRPr="003703D6">
        <w:rPr>
          <w:color w:val="000000"/>
          <w:shd w:val="clear" w:color="auto" w:fill="FFFFFF"/>
        </w:rPr>
        <w:t xml:space="preserve">the joint microenvironment can prime </w:t>
      </w:r>
      <w:r w:rsidR="00DD0B20">
        <w:rPr>
          <w:color w:val="000000"/>
          <w:shd w:val="clear" w:color="auto" w:fill="FFFFFF"/>
        </w:rPr>
        <w:t>NK cells isolated from PsA peripheral blood</w:t>
      </w:r>
      <w:r w:rsidR="00DD0B20" w:rsidRPr="003703D6">
        <w:rPr>
          <w:color w:val="000000"/>
          <w:shd w:val="clear" w:color="auto" w:fill="FFFFFF"/>
        </w:rPr>
        <w:t xml:space="preserve"> to kill via activation of </w:t>
      </w:r>
      <w:r w:rsidR="00151A76">
        <w:rPr>
          <w:color w:val="000000"/>
          <w:shd w:val="clear" w:color="auto" w:fill="FFFFFF"/>
        </w:rPr>
        <w:t xml:space="preserve">the receptor </w:t>
      </w:r>
      <w:r w:rsidR="00DD0B20" w:rsidRPr="003703D6">
        <w:rPr>
          <w:color w:val="000000"/>
          <w:shd w:val="clear" w:color="auto" w:fill="FFFFFF"/>
        </w:rPr>
        <w:t>NKG2D and cPLA2.82</w:t>
      </w:r>
      <w:r w:rsidR="00F919E7">
        <w:rPr>
          <w:color w:val="000000"/>
          <w:shd w:val="clear" w:color="auto" w:fill="FFFFFF"/>
        </w:rPr>
        <w:t xml:space="preserve"> \parencite{Tang2013}.</w:t>
      </w:r>
      <w:r w:rsidR="00151A76">
        <w:rPr>
          <w:color w:val="000000"/>
          <w:shd w:val="clear" w:color="auto" w:fill="FFFFFF"/>
        </w:rPr>
        <w:t xml:space="preserve"> </w:t>
      </w:r>
    </w:p>
    <w:p w14:paraId="233BDE61" w14:textId="27478B4F" w:rsidR="00A66CED" w:rsidRDefault="001845B9" w:rsidP="00A66CED">
      <w:pPr>
        <w:rPr>
          <w:color w:val="000000"/>
          <w:shd w:val="clear" w:color="auto" w:fill="FFFFFF"/>
        </w:rPr>
      </w:pPr>
      <w:r>
        <w:rPr>
          <w:color w:val="000000"/>
          <w:shd w:val="clear" w:color="auto" w:fill="FFFFFF"/>
        </w:rPr>
        <w:t xml:space="preserve">Amongst the </w:t>
      </w:r>
      <w:r w:rsidR="004156B9">
        <w:rPr>
          <w:color w:val="000000"/>
          <w:shd w:val="clear" w:color="auto" w:fill="FFFFFF"/>
        </w:rPr>
        <w:t>target cell</w:t>
      </w:r>
      <w:r w:rsidR="003B08FF">
        <w:rPr>
          <w:color w:val="000000"/>
          <w:shd w:val="clear" w:color="auto" w:fill="FFFFFF"/>
        </w:rPr>
        <w:t>s</w:t>
      </w:r>
      <w:r w:rsidR="004156B9">
        <w:rPr>
          <w:color w:val="000000"/>
          <w:shd w:val="clear" w:color="auto" w:fill="FFFFFF"/>
        </w:rPr>
        <w:t xml:space="preserve"> receptors </w:t>
      </w:r>
      <w:r w:rsidR="00E21ADF">
        <w:rPr>
          <w:color w:val="000000"/>
          <w:shd w:val="clear" w:color="auto" w:fill="FFFFFF"/>
        </w:rPr>
        <w:t xml:space="preserve">regulating NK cells function, </w:t>
      </w:r>
      <w:r w:rsidR="00C177B2">
        <w:rPr>
          <w:color w:val="000000"/>
          <w:shd w:val="clear" w:color="auto" w:fill="FFFFFF"/>
        </w:rPr>
        <w:t xml:space="preserve">the </w:t>
      </w:r>
      <w:r w:rsidR="00C177B2" w:rsidRPr="00C177B2">
        <w:rPr>
          <w:color w:val="000000"/>
          <w:shd w:val="clear" w:color="auto" w:fill="FFFFFF"/>
        </w:rPr>
        <w:t>kill</w:t>
      </w:r>
      <w:r w:rsidR="00C177B2">
        <w:rPr>
          <w:color w:val="000000"/>
          <w:shd w:val="clear" w:color="auto" w:fill="FFFFFF"/>
        </w:rPr>
        <w:t>er immunoglobulin-like receptor</w:t>
      </w:r>
      <w:r w:rsidR="00C177B2" w:rsidRPr="00C177B2">
        <w:rPr>
          <w:color w:val="000000"/>
          <w:shd w:val="clear" w:color="auto" w:fill="FFFFFF"/>
        </w:rPr>
        <w:t xml:space="preserve"> (KIR)</w:t>
      </w:r>
      <w:r w:rsidR="00C177B2">
        <w:rPr>
          <w:color w:val="000000"/>
          <w:shd w:val="clear" w:color="auto" w:fill="FFFFFF"/>
        </w:rPr>
        <w:t xml:space="preserve"> family </w:t>
      </w:r>
      <w:r w:rsidR="004156B9">
        <w:rPr>
          <w:color w:val="000000"/>
          <w:shd w:val="clear" w:color="auto" w:fill="FFFFFF"/>
        </w:rPr>
        <w:t>includes activating and inhibitory members.</w:t>
      </w:r>
      <w:r w:rsidR="00A66CED">
        <w:rPr>
          <w:color w:val="000000"/>
          <w:shd w:val="clear" w:color="auto" w:fill="FFFFFF"/>
        </w:rPr>
        <w:t xml:space="preserve"> The inhibitory </w:t>
      </w:r>
      <w:r w:rsidR="00A66CED">
        <w:t xml:space="preserve">receptor KIR2DL1 and the </w:t>
      </w:r>
      <w:r w:rsidR="00A66CED">
        <w:lastRenderedPageBreak/>
        <w:t xml:space="preserve">activatory receptor KIR2DS1 recognise </w:t>
      </w:r>
      <w:r w:rsidR="00A66CED" w:rsidRPr="003B08FF">
        <w:rPr>
          <w:color w:val="000000"/>
          <w:shd w:val="clear" w:color="auto" w:fill="FFFFFF"/>
        </w:rPr>
        <w:t>HLA- Cw*06:02</w:t>
      </w:r>
      <w:r w:rsidR="000D59B3">
        <w:rPr>
          <w:color w:val="000000"/>
          <w:shd w:val="clear" w:color="auto" w:fill="FFFFFF"/>
        </w:rPr>
        <w:t xml:space="preserve">, strongly associated </w:t>
      </w:r>
      <w:r w:rsidR="00EB772A">
        <w:rPr>
          <w:color w:val="000000"/>
          <w:shd w:val="clear" w:color="auto" w:fill="FFFFFF"/>
        </w:rPr>
        <w:t>with psoriasis and PsA</w:t>
      </w:r>
      <w:r w:rsidR="00FE6569">
        <w:rPr>
          <w:color w:val="000000"/>
          <w:shd w:val="clear" w:color="auto" w:fill="FFFFFF"/>
        </w:rPr>
        <w:t xml:space="preserve"> \parencite{Tobin2011}</w:t>
      </w:r>
      <w:r w:rsidR="00EB772A">
        <w:rPr>
          <w:color w:val="000000"/>
          <w:shd w:val="clear" w:color="auto" w:fill="FFFFFF"/>
        </w:rPr>
        <w:t>. Interestingly, gene</w:t>
      </w:r>
      <w:r w:rsidR="00EB772A" w:rsidRPr="003B08FF">
        <w:rPr>
          <w:color w:val="000000"/>
          <w:shd w:val="clear" w:color="auto" w:fill="FFFFFF"/>
        </w:rPr>
        <w:t xml:space="preserve"> based studies </w:t>
      </w:r>
      <w:r w:rsidR="00EB772A">
        <w:rPr>
          <w:color w:val="000000"/>
          <w:shd w:val="clear" w:color="auto" w:fill="FFFFFF"/>
        </w:rPr>
        <w:t>have shown</w:t>
      </w:r>
      <w:r w:rsidR="00EB772A" w:rsidRPr="003B08FF">
        <w:rPr>
          <w:color w:val="000000"/>
          <w:shd w:val="clear" w:color="auto" w:fill="FFFFFF"/>
        </w:rPr>
        <w:t xml:space="preserve"> genetic variability</w:t>
      </w:r>
      <w:r w:rsidR="00BC0054">
        <w:rPr>
          <w:color w:val="000000"/>
          <w:shd w:val="clear" w:color="auto" w:fill="FFFFFF"/>
        </w:rPr>
        <w:t xml:space="preserve"> </w:t>
      </w:r>
      <w:r w:rsidR="00EB772A" w:rsidRPr="003B08FF">
        <w:rPr>
          <w:color w:val="000000"/>
          <w:shd w:val="clear" w:color="auto" w:fill="FFFFFF"/>
        </w:rPr>
        <w:t>in</w:t>
      </w:r>
      <w:r w:rsidR="00FE6569">
        <w:rPr>
          <w:color w:val="000000"/>
          <w:shd w:val="clear" w:color="auto" w:fill="FFFFFF"/>
        </w:rPr>
        <w:t xml:space="preserve"> </w:t>
      </w:r>
      <w:r w:rsidR="00EB772A">
        <w:rPr>
          <w:color w:val="000000"/>
          <w:shd w:val="clear" w:color="auto" w:fill="FFFFFF"/>
        </w:rPr>
        <w:t>\textit{</w:t>
      </w:r>
      <w:r w:rsidR="00EB772A" w:rsidRPr="003B08FF">
        <w:rPr>
          <w:color w:val="000000"/>
          <w:shd w:val="clear" w:color="auto" w:fill="FFFFFF"/>
        </w:rPr>
        <w:t>KIR2DS1</w:t>
      </w:r>
      <w:r w:rsidR="00EB772A">
        <w:rPr>
          <w:color w:val="000000"/>
          <w:shd w:val="clear" w:color="auto" w:fill="FFFFFF"/>
        </w:rPr>
        <w:t>}</w:t>
      </w:r>
      <w:r w:rsidR="00EB772A" w:rsidRPr="003B08FF">
        <w:rPr>
          <w:color w:val="000000"/>
          <w:shd w:val="clear" w:color="auto" w:fill="FFFFFF"/>
        </w:rPr>
        <w:t xml:space="preserve"> ge</w:t>
      </w:r>
      <w:r w:rsidR="00EB772A">
        <w:rPr>
          <w:color w:val="000000"/>
          <w:shd w:val="clear" w:color="auto" w:fill="FFFFFF"/>
        </w:rPr>
        <w:t xml:space="preserve">ne, </w:t>
      </w:r>
      <w:r w:rsidR="00BC0054">
        <w:rPr>
          <w:color w:val="000000"/>
          <w:shd w:val="clear" w:color="auto" w:fill="FFFFFF"/>
        </w:rPr>
        <w:t>associated with psoriasis</w:t>
      </w:r>
      <w:r w:rsidR="00BC0054" w:rsidRPr="003B08FF">
        <w:rPr>
          <w:color w:val="000000"/>
          <w:shd w:val="clear" w:color="auto" w:fill="FFFFFF"/>
        </w:rPr>
        <w:t xml:space="preserve"> </w:t>
      </w:r>
      <w:r w:rsidR="00BC0054">
        <w:rPr>
          <w:color w:val="000000"/>
          <w:shd w:val="clear" w:color="auto" w:fill="FFFFFF"/>
        </w:rPr>
        <w:t xml:space="preserve">and PsA susceptibility and also </w:t>
      </w:r>
      <w:r w:rsidR="00EB772A">
        <w:rPr>
          <w:color w:val="000000"/>
          <w:shd w:val="clear" w:color="auto" w:fill="FFFFFF"/>
        </w:rPr>
        <w:t>reported for AS and RA</w:t>
      </w:r>
      <w:r w:rsidR="00A66CED" w:rsidRPr="003B08FF">
        <w:rPr>
          <w:color w:val="000000"/>
          <w:shd w:val="clear" w:color="auto" w:fill="FFFFFF"/>
        </w:rPr>
        <w:t xml:space="preserve"> </w:t>
      </w:r>
      <w:r w:rsidR="00A66CED">
        <w:rPr>
          <w:color w:val="000000"/>
          <w:shd w:val="clear" w:color="auto" w:fill="FFFFFF"/>
        </w:rPr>
        <w:t>\parencite{</w:t>
      </w:r>
      <w:r w:rsidR="00BC0054">
        <w:t>L</w:t>
      </w:r>
      <w:r w:rsidR="00BC0054" w:rsidRPr="00BC0054">
        <w:rPr>
          <w:color w:val="000000"/>
          <w:shd w:val="clear" w:color="auto" w:fill="FFFFFF"/>
        </w:rPr>
        <w:t xml:space="preserve">uszczek </w:t>
      </w:r>
      <w:r w:rsidR="00A66CED">
        <w:rPr>
          <w:color w:val="000000"/>
          <w:shd w:val="clear" w:color="auto" w:fill="FFFFFF"/>
        </w:rPr>
        <w:t>2004, Williams2005,Carter2007, Yen</w:t>
      </w:r>
      <w:r w:rsidR="00A66CED" w:rsidRPr="003B08FF">
        <w:rPr>
          <w:color w:val="000000"/>
          <w:shd w:val="clear" w:color="auto" w:fill="FFFFFF"/>
        </w:rPr>
        <w:t>2001).</w:t>
      </w:r>
    </w:p>
    <w:p w14:paraId="7EB82545" w14:textId="77777777" w:rsidR="00FE6569" w:rsidRPr="003B08FF" w:rsidRDefault="00FE6569" w:rsidP="00A66CED">
      <w:pPr>
        <w:rPr>
          <w:color w:val="000000"/>
          <w:shd w:val="clear" w:color="auto" w:fill="FFFFFF"/>
        </w:rPr>
      </w:pPr>
    </w:p>
    <w:p w14:paraId="3A5874AF" w14:textId="29BD7D9F" w:rsidR="00A66CED" w:rsidRDefault="00126737" w:rsidP="00A66CED">
      <w:pPr>
        <w:rPr>
          <w:color w:val="000000"/>
          <w:shd w:val="clear" w:color="auto" w:fill="FFFFFF"/>
        </w:rPr>
      </w:pPr>
      <w:r>
        <w:rPr>
          <w:color w:val="000000"/>
          <w:shd w:val="clear" w:color="auto" w:fill="FFFFFF"/>
        </w:rPr>
        <w:t>The role of B cells in the pathophysiolog</w:t>
      </w:r>
      <w:r w:rsidR="00151EDF">
        <w:rPr>
          <w:color w:val="000000"/>
          <w:shd w:val="clear" w:color="auto" w:fill="FFFFFF"/>
        </w:rPr>
        <w:t xml:space="preserve">y of psoriasis and PsA has </w:t>
      </w:r>
      <w:r w:rsidR="00814BDF">
        <w:rPr>
          <w:color w:val="000000"/>
          <w:shd w:val="clear" w:color="auto" w:fill="FFFFFF"/>
        </w:rPr>
        <w:t>remained unclear</w:t>
      </w:r>
      <w:r w:rsidR="00151EDF">
        <w:rPr>
          <w:color w:val="000000"/>
          <w:shd w:val="clear" w:color="auto" w:fill="FFFFFF"/>
        </w:rPr>
        <w:t>.</w:t>
      </w:r>
      <w:r w:rsidR="004E0457">
        <w:rPr>
          <w:color w:val="000000"/>
          <w:shd w:val="clear" w:color="auto" w:fill="FFFFFF"/>
        </w:rPr>
        <w:t xml:space="preserve"> </w:t>
      </w:r>
      <w:r w:rsidR="00814BDF">
        <w:rPr>
          <w:color w:val="000000"/>
          <w:shd w:val="clear" w:color="auto" w:fill="FFFFFF"/>
        </w:rPr>
        <w:t>B cells are m</w:t>
      </w:r>
      <w:r w:rsidR="00FA200B">
        <w:rPr>
          <w:color w:val="000000"/>
          <w:shd w:val="clear" w:color="auto" w:fill="FFFFFF"/>
        </w:rPr>
        <w:t>ainly</w:t>
      </w:r>
      <w:r w:rsidR="00814BDF">
        <w:rPr>
          <w:color w:val="000000"/>
          <w:shd w:val="clear" w:color="auto" w:fill="FFFFFF"/>
        </w:rPr>
        <w:t xml:space="preserve"> known as key players of the humoral adaptive immune response through antibody </w:t>
      </w:r>
      <w:r w:rsidR="007D6FC6">
        <w:rPr>
          <w:color w:val="000000"/>
          <w:shd w:val="clear" w:color="auto" w:fill="FFFFFF"/>
        </w:rPr>
        <w:t>production. However</w:t>
      </w:r>
      <w:r w:rsidR="004046CD">
        <w:rPr>
          <w:color w:val="000000"/>
          <w:shd w:val="clear" w:color="auto" w:fill="FFFFFF"/>
        </w:rPr>
        <w:t>,</w:t>
      </w:r>
      <w:r w:rsidR="007D6FC6">
        <w:rPr>
          <w:color w:val="000000"/>
          <w:shd w:val="clear" w:color="auto" w:fill="FFFFFF"/>
        </w:rPr>
        <w:t xml:space="preserve"> they </w:t>
      </w:r>
      <w:r w:rsidR="004046CD">
        <w:rPr>
          <w:color w:val="000000"/>
          <w:shd w:val="clear" w:color="auto" w:fill="FFFFFF"/>
        </w:rPr>
        <w:t>also act as</w:t>
      </w:r>
      <w:r w:rsidR="007D6FC6">
        <w:rPr>
          <w:color w:val="000000"/>
          <w:shd w:val="clear" w:color="auto" w:fill="FFFFFF"/>
        </w:rPr>
        <w:t xml:space="preserve"> APCs, regulate</w:t>
      </w:r>
      <w:r w:rsidR="00814BDF">
        <w:rPr>
          <w:color w:val="000000"/>
          <w:shd w:val="clear" w:color="auto" w:fill="FFFFFF"/>
        </w:rPr>
        <w:t xml:space="preserve"> </w:t>
      </w:r>
      <w:r w:rsidR="007D6FC6">
        <w:rPr>
          <w:color w:val="000000"/>
          <w:shd w:val="clear" w:color="auto" w:fill="FFFFFF"/>
        </w:rPr>
        <w:t>CD4$^+$ activation and differentiation into Th effector cells</w:t>
      </w:r>
      <w:r w:rsidR="00FA200B">
        <w:rPr>
          <w:color w:val="000000"/>
          <w:shd w:val="clear" w:color="auto" w:fill="FFFFFF"/>
        </w:rPr>
        <w:t xml:space="preserve"> by providing co-estimulatory signals and actively secrete cytokines \parencite{</w:t>
      </w:r>
      <w:r w:rsidR="000F219C">
        <w:rPr>
          <w:color w:val="000000"/>
          <w:shd w:val="clear" w:color="auto" w:fill="FFFFFF"/>
        </w:rPr>
        <w:t>Bouaziz2007,Constant1995,Harris2000</w:t>
      </w:r>
      <w:r w:rsidR="00C8625F">
        <w:rPr>
          <w:color w:val="000000"/>
          <w:shd w:val="clear" w:color="auto" w:fill="FFFFFF"/>
        </w:rPr>
        <w:t xml:space="preserve">,Linton2003}. </w:t>
      </w:r>
      <w:r w:rsidR="004E0457">
        <w:rPr>
          <w:color w:val="000000"/>
          <w:shd w:val="clear" w:color="auto" w:fill="FFFFFF"/>
        </w:rPr>
        <w:t xml:space="preserve">Recent studies in </w:t>
      </w:r>
      <w:r w:rsidR="005F31E9">
        <w:rPr>
          <w:color w:val="000000"/>
          <w:shd w:val="clear" w:color="auto" w:fill="FFFFFF"/>
        </w:rPr>
        <w:t xml:space="preserve">the </w:t>
      </w:r>
      <w:r w:rsidR="004E0457">
        <w:rPr>
          <w:color w:val="000000"/>
          <w:shd w:val="clear" w:color="auto" w:fill="FFFFFF"/>
        </w:rPr>
        <w:t>imiquimod</w:t>
      </w:r>
      <w:r w:rsidR="00CF7760">
        <w:rPr>
          <w:color w:val="000000"/>
          <w:shd w:val="clear" w:color="auto" w:fill="FFFFFF"/>
        </w:rPr>
        <w:t xml:space="preserve">-induced </w:t>
      </w:r>
      <w:r w:rsidR="004E0457">
        <w:rPr>
          <w:color w:val="000000"/>
          <w:shd w:val="clear" w:color="auto" w:fill="FFFFFF"/>
        </w:rPr>
        <w:t xml:space="preserve">psoriasis </w:t>
      </w:r>
      <w:r w:rsidR="005F31E9">
        <w:rPr>
          <w:color w:val="000000"/>
          <w:shd w:val="clear" w:color="auto" w:fill="FFFFFF"/>
        </w:rPr>
        <w:t xml:space="preserve">mice model have demonstrated </w:t>
      </w:r>
      <w:r w:rsidR="00AA2CD2">
        <w:rPr>
          <w:color w:val="000000"/>
          <w:shd w:val="clear" w:color="auto" w:fill="FFFFFF"/>
        </w:rPr>
        <w:t>more severe inflammation</w:t>
      </w:r>
      <w:r w:rsidR="008D0319">
        <w:rPr>
          <w:color w:val="000000"/>
          <w:shd w:val="clear" w:color="auto" w:fill="FFFFFF"/>
        </w:rPr>
        <w:t xml:space="preserve"> in CD19 knock-out mice </w:t>
      </w:r>
      <w:r w:rsidR="00C9152F">
        <w:rPr>
          <w:color w:val="000000"/>
          <w:shd w:val="clear" w:color="auto" w:fill="FFFFFF"/>
        </w:rPr>
        <w:t xml:space="preserve">a regulatory B cell subset </w:t>
      </w:r>
      <w:r w:rsidR="00F96916">
        <w:rPr>
          <w:color w:val="000000"/>
          <w:shd w:val="clear" w:color="auto" w:fill="FFFFFF"/>
        </w:rPr>
        <w:t>producing IL-10</w:t>
      </w:r>
      <w:r w:rsidR="00C9152F">
        <w:rPr>
          <w:color w:val="000000"/>
          <w:shd w:val="clear" w:color="auto" w:fill="FFFFFF"/>
        </w:rPr>
        <w:t xml:space="preserve"> </w:t>
      </w:r>
      <w:r w:rsidR="008D0319">
        <w:rPr>
          <w:color w:val="000000"/>
          <w:shd w:val="clear" w:color="auto" w:fill="FFFFFF"/>
        </w:rPr>
        <w:t>\parencite{</w:t>
      </w:r>
      <w:r w:rsidR="00B135DC">
        <w:rPr>
          <w:color w:val="000000"/>
          <w:shd w:val="clear" w:color="auto" w:fill="FFFFFF"/>
        </w:rPr>
        <w:t>Yanaba2013</w:t>
      </w:r>
      <w:r w:rsidR="00CF7760">
        <w:rPr>
          <w:color w:val="000000"/>
          <w:shd w:val="clear" w:color="auto" w:fill="FFFFFF"/>
        </w:rPr>
        <w:t>,Alrefai2016</w:t>
      </w:r>
      <w:r w:rsidR="008D0319">
        <w:rPr>
          <w:color w:val="000000"/>
          <w:shd w:val="clear" w:color="auto" w:fill="FFFFFF"/>
        </w:rPr>
        <w:t>}</w:t>
      </w:r>
      <w:r w:rsidR="00CF7760">
        <w:rPr>
          <w:color w:val="000000"/>
          <w:shd w:val="clear" w:color="auto" w:fill="FFFFFF"/>
        </w:rPr>
        <w:t>.</w:t>
      </w:r>
      <w:r w:rsidR="00586393">
        <w:rPr>
          <w:color w:val="000000"/>
          <w:shd w:val="clear" w:color="auto" w:fill="FFFFFF"/>
        </w:rPr>
        <w:t xml:space="preserve"> Furthermore, different B c</w:t>
      </w:r>
      <w:r w:rsidR="00472314">
        <w:rPr>
          <w:color w:val="000000"/>
          <w:shd w:val="clear" w:color="auto" w:fill="FFFFFF"/>
        </w:rPr>
        <w:t>ell subsets have been found</w:t>
      </w:r>
      <w:r w:rsidR="00586393">
        <w:rPr>
          <w:color w:val="000000"/>
          <w:shd w:val="clear" w:color="auto" w:fill="FFFFFF"/>
        </w:rPr>
        <w:t xml:space="preserve"> in PBMCs from psoriasis patients and</w:t>
      </w:r>
      <w:r w:rsidR="00B4302C">
        <w:rPr>
          <w:color w:val="000000"/>
          <w:shd w:val="clear" w:color="auto" w:fill="FFFFFF"/>
        </w:rPr>
        <w:t xml:space="preserve"> in</w:t>
      </w:r>
      <w:r w:rsidR="00586393">
        <w:rPr>
          <w:color w:val="000000"/>
          <w:shd w:val="clear" w:color="auto" w:fill="FFFFFF"/>
        </w:rPr>
        <w:t xml:space="preserve"> lesional skin and correlation with disease severity has been </w:t>
      </w:r>
      <w:r w:rsidR="00472314">
        <w:rPr>
          <w:color w:val="000000"/>
          <w:shd w:val="clear" w:color="auto" w:fill="FFFFFF"/>
        </w:rPr>
        <w:t>identified</w:t>
      </w:r>
      <w:r w:rsidR="00586393">
        <w:rPr>
          <w:color w:val="000000"/>
          <w:shd w:val="clear" w:color="auto" w:fill="FFFFFF"/>
        </w:rPr>
        <w:t xml:space="preserve"> </w:t>
      </w:r>
      <w:r w:rsidR="00B4302C">
        <w:rPr>
          <w:color w:val="000000"/>
          <w:shd w:val="clear" w:color="auto" w:fill="FFFFFF"/>
        </w:rPr>
        <w:t>for</w:t>
      </w:r>
      <w:r w:rsidR="007A7669">
        <w:rPr>
          <w:color w:val="000000"/>
          <w:shd w:val="clear" w:color="auto" w:fill="FFFFFF"/>
        </w:rPr>
        <w:t xml:space="preserve"> some clinical subtypes </w:t>
      </w:r>
      <w:r w:rsidR="00B4302C">
        <w:rPr>
          <w:color w:val="000000"/>
          <w:shd w:val="clear" w:color="auto" w:fill="FFFFFF"/>
        </w:rPr>
        <w:t>\parencite{</w:t>
      </w:r>
      <w:r w:rsidR="007A7669">
        <w:rPr>
          <w:color w:val="000000"/>
          <w:shd w:val="clear" w:color="auto" w:fill="FFFFFF"/>
        </w:rPr>
        <w:t>Lu2016</w:t>
      </w:r>
      <w:r w:rsidR="00B4302C">
        <w:rPr>
          <w:color w:val="000000"/>
          <w:shd w:val="clear" w:color="auto" w:fill="FFFFFF"/>
        </w:rPr>
        <w:t>}.</w:t>
      </w:r>
    </w:p>
    <w:p w14:paraId="7CD022FF" w14:textId="77777777" w:rsidR="00A90F15" w:rsidRDefault="00A90F15" w:rsidP="00A66CED">
      <w:pPr>
        <w:rPr>
          <w:color w:val="000000"/>
          <w:shd w:val="clear" w:color="auto" w:fill="FFFFFF"/>
        </w:rPr>
      </w:pPr>
    </w:p>
    <w:p w14:paraId="71135F23" w14:textId="6A584788" w:rsidR="005F31E9" w:rsidRDefault="005F31E9" w:rsidP="00A66CED">
      <w:pPr>
        <w:rPr>
          <w:color w:val="000000"/>
          <w:shd w:val="clear" w:color="auto" w:fill="FFFFFF"/>
        </w:rPr>
      </w:pPr>
    </w:p>
    <w:p w14:paraId="4E15BA48" w14:textId="46E1198C" w:rsidR="00D7195B" w:rsidRDefault="00D7195B" w:rsidP="00BB6C4C">
      <w:r>
        <w:t>GWAS</w:t>
      </w:r>
    </w:p>
    <w:p w14:paraId="14FDA36F" w14:textId="3ABF73DF" w:rsidR="004D6A3E" w:rsidRDefault="00D7195B" w:rsidP="002301F9">
      <w:pPr>
        <w:pStyle w:val="BodyText"/>
        <w:spacing w:before="79" w:line="415" w:lineRule="auto"/>
        <w:ind w:left="377" w:right="821" w:firstLine="566"/>
        <w:jc w:val="both"/>
        <w:rPr>
          <w:rFonts w:ascii="Times New Roman" w:hAnsi="Times New Roman" w:cs="Times New Roman"/>
          <w:w w:val="115"/>
        </w:rPr>
      </w:pPr>
      <w:r w:rsidRPr="009444CD">
        <w:rPr>
          <w:rFonts w:ascii="Times New Roman" w:hAnsi="Times New Roman" w:cs="Times New Roman"/>
          <w:spacing w:val="-8"/>
          <w:w w:val="110"/>
        </w:rPr>
        <w:t xml:space="preserve">GWAS </w:t>
      </w:r>
      <w:r w:rsidRPr="009444CD">
        <w:rPr>
          <w:rFonts w:ascii="Times New Roman" w:hAnsi="Times New Roman" w:cs="Times New Roman"/>
          <w:w w:val="110"/>
        </w:rPr>
        <w:t>rep</w:t>
      </w:r>
      <w:r w:rsidR="009444CD">
        <w:rPr>
          <w:rFonts w:ascii="Times New Roman" w:hAnsi="Times New Roman" w:cs="Times New Roman"/>
          <w:w w:val="110"/>
        </w:rPr>
        <w:t xml:space="preserve">resent a biologically unbiased </w:t>
      </w:r>
      <w:r w:rsidR="00E4717F">
        <w:rPr>
          <w:rFonts w:ascii="Times New Roman" w:hAnsi="Times New Roman" w:cs="Times New Roman"/>
          <w:w w:val="110"/>
        </w:rPr>
        <w:t xml:space="preserve">approach </w:t>
      </w:r>
      <w:r w:rsidR="00CA1F1A">
        <w:rPr>
          <w:rFonts w:ascii="Times New Roman" w:hAnsi="Times New Roman" w:cs="Times New Roman"/>
          <w:w w:val="110"/>
        </w:rPr>
        <w:t xml:space="preserve">to </w:t>
      </w:r>
      <w:r w:rsidRPr="009444CD">
        <w:rPr>
          <w:rFonts w:ascii="Times New Roman" w:hAnsi="Times New Roman" w:cs="Times New Roman"/>
          <w:w w:val="110"/>
        </w:rPr>
        <w:t xml:space="preserve">shed  some  </w:t>
      </w:r>
      <w:r w:rsidRPr="009444CD">
        <w:rPr>
          <w:rFonts w:ascii="Times New Roman" w:hAnsi="Times New Roman" w:cs="Times New Roman"/>
          <w:spacing w:val="-3"/>
          <w:w w:val="110"/>
        </w:rPr>
        <w:t xml:space="preserve">light </w:t>
      </w:r>
      <w:r w:rsidRPr="009444CD">
        <w:rPr>
          <w:rFonts w:ascii="Times New Roman" w:hAnsi="Times New Roman" w:cs="Times New Roman"/>
          <w:w w:val="110"/>
        </w:rPr>
        <w:t xml:space="preserve">on pathophysiological relevant cell types and molecular pathways associated with disease. </w:t>
      </w:r>
      <w:r w:rsidRPr="009444CD">
        <w:rPr>
          <w:rFonts w:ascii="Times New Roman" w:hAnsi="Times New Roman" w:cs="Times New Roman"/>
          <w:spacing w:val="-8"/>
          <w:w w:val="110"/>
        </w:rPr>
        <w:t xml:space="preserve">GWAS </w:t>
      </w:r>
      <w:r w:rsidRPr="009444CD">
        <w:rPr>
          <w:rFonts w:ascii="Times New Roman" w:hAnsi="Times New Roman" w:cs="Times New Roman"/>
          <w:w w:val="110"/>
        </w:rPr>
        <w:t>have underlined some of the most important cell typ</w:t>
      </w:r>
      <w:r w:rsidR="00665710" w:rsidRPr="009444CD">
        <w:rPr>
          <w:rFonts w:ascii="Times New Roman" w:hAnsi="Times New Roman" w:cs="Times New Roman"/>
          <w:w w:val="110"/>
        </w:rPr>
        <w:t>es for which genetic variation may be</w:t>
      </w:r>
      <w:r w:rsidRPr="009444CD">
        <w:rPr>
          <w:rFonts w:ascii="Times New Roman" w:hAnsi="Times New Roman" w:cs="Times New Roman"/>
          <w:w w:val="110"/>
        </w:rPr>
        <w:t xml:space="preserve"> functionally relevant</w:t>
      </w:r>
      <w:r w:rsidR="00E4717F">
        <w:rPr>
          <w:rFonts w:ascii="Times New Roman" w:hAnsi="Times New Roman" w:cs="Times New Roman"/>
          <w:w w:val="110"/>
        </w:rPr>
        <w:t xml:space="preserve"> by overlapping them </w:t>
      </w:r>
      <w:r w:rsidR="00B74793" w:rsidRPr="009444CD">
        <w:rPr>
          <w:rFonts w:ascii="Times New Roman" w:hAnsi="Times New Roman" w:cs="Times New Roman"/>
          <w:w w:val="110"/>
        </w:rPr>
        <w:t>with</w:t>
      </w:r>
      <w:r w:rsidR="006B599D" w:rsidRPr="009444CD">
        <w:rPr>
          <w:rFonts w:ascii="Times New Roman" w:hAnsi="Times New Roman" w:cs="Times New Roman"/>
          <w:w w:val="110"/>
        </w:rPr>
        <w:t xml:space="preserve"> epigenetic features </w:t>
      </w:r>
      <w:r w:rsidR="00B74793" w:rsidRPr="009444CD">
        <w:rPr>
          <w:rFonts w:ascii="Times New Roman" w:hAnsi="Times New Roman" w:cs="Times New Roman"/>
          <w:w w:val="110"/>
        </w:rPr>
        <w:t>mapped in</w:t>
      </w:r>
      <w:r w:rsidR="006B599D" w:rsidRPr="009444CD">
        <w:rPr>
          <w:rFonts w:ascii="Times New Roman" w:hAnsi="Times New Roman" w:cs="Times New Roman"/>
          <w:w w:val="110"/>
        </w:rPr>
        <w:t xml:space="preserve"> cell lines or primary cells </w:t>
      </w:r>
      <w:r w:rsidR="002D47F8">
        <w:rPr>
          <w:rFonts w:ascii="Times New Roman" w:hAnsi="Times New Roman" w:cs="Times New Roman"/>
          <w:w w:val="110"/>
        </w:rPr>
        <w:t>isolated from</w:t>
      </w:r>
      <w:r w:rsidR="00B74793" w:rsidRPr="009444CD">
        <w:rPr>
          <w:rFonts w:ascii="Times New Roman" w:hAnsi="Times New Roman" w:cs="Times New Roman"/>
          <w:w w:val="110"/>
        </w:rPr>
        <w:t xml:space="preserve"> healthy control </w:t>
      </w:r>
      <w:r w:rsidR="00E83F0C" w:rsidRPr="009444CD">
        <w:rPr>
          <w:rFonts w:ascii="Times New Roman" w:hAnsi="Times New Roman" w:cs="Times New Roman"/>
          <w:w w:val="110"/>
        </w:rPr>
        <w:t xml:space="preserve">\parencite{}. </w:t>
      </w:r>
      <w:r w:rsidR="00DC0A82" w:rsidRPr="009444CD">
        <w:rPr>
          <w:rFonts w:ascii="Times New Roman" w:hAnsi="Times New Roman" w:cs="Times New Roman"/>
          <w:w w:val="110"/>
        </w:rPr>
        <w:t>In psoriasis and PsA</w:t>
      </w:r>
      <w:r w:rsidR="00CD50D6" w:rsidRPr="009444CD">
        <w:rPr>
          <w:rFonts w:ascii="Times New Roman" w:hAnsi="Times New Roman" w:cs="Times New Roman"/>
          <w:w w:val="110"/>
        </w:rPr>
        <w:t>,</w:t>
      </w:r>
      <w:r w:rsidR="00DC0A82" w:rsidRPr="009444CD">
        <w:rPr>
          <w:rFonts w:ascii="Times New Roman" w:hAnsi="Times New Roman" w:cs="Times New Roman"/>
          <w:w w:val="110"/>
        </w:rPr>
        <w:t xml:space="preserve"> </w:t>
      </w:r>
      <w:r w:rsidR="00DC0A82" w:rsidRPr="009444CD">
        <w:rPr>
          <w:rFonts w:ascii="Times New Roman" w:hAnsi="Times New Roman" w:cs="Times New Roman"/>
          <w:w w:val="115"/>
        </w:rPr>
        <w:t xml:space="preserve">enrichment </w:t>
      </w:r>
      <w:r w:rsidR="00416187">
        <w:rPr>
          <w:rFonts w:ascii="Times New Roman" w:hAnsi="Times New Roman" w:cs="Times New Roman"/>
          <w:w w:val="115"/>
        </w:rPr>
        <w:t>of</w:t>
      </w:r>
      <w:r w:rsidR="00DC0A82" w:rsidRPr="009444CD">
        <w:rPr>
          <w:rFonts w:ascii="Times New Roman" w:hAnsi="Times New Roman" w:cs="Times New Roman"/>
          <w:w w:val="115"/>
        </w:rPr>
        <w:t xml:space="preserve"> </w:t>
      </w:r>
      <w:r w:rsidR="00CA1F1A">
        <w:rPr>
          <w:rFonts w:ascii="Times New Roman" w:hAnsi="Times New Roman" w:cs="Times New Roman"/>
          <w:w w:val="115"/>
        </w:rPr>
        <w:t xml:space="preserve">associated variants has </w:t>
      </w:r>
      <w:r w:rsidR="00DC0A82" w:rsidRPr="009444CD">
        <w:rPr>
          <w:rFonts w:ascii="Times New Roman" w:hAnsi="Times New Roman" w:cs="Times New Roman"/>
          <w:w w:val="115"/>
        </w:rPr>
        <w:t>been found for regulatory elements in several cell types</w:t>
      </w:r>
      <w:r w:rsidR="00CD50D6" w:rsidRPr="009444CD">
        <w:rPr>
          <w:rFonts w:ascii="Times New Roman" w:hAnsi="Times New Roman" w:cs="Times New Roman"/>
          <w:w w:val="115"/>
        </w:rPr>
        <w:t xml:space="preserve"> and the majority of GWAS risk loci have been linked to genes that belong to a limited number of pathways, as detailed below </w:t>
      </w:r>
      <w:r w:rsidR="00DC0A82" w:rsidRPr="009444CD">
        <w:rPr>
          <w:rFonts w:ascii="Times New Roman" w:hAnsi="Times New Roman" w:cs="Times New Roman"/>
          <w:w w:val="115"/>
        </w:rPr>
        <w:t>(Capon 2017)</w:t>
      </w:r>
      <w:r w:rsidR="00CD50D6" w:rsidRPr="009444CD">
        <w:rPr>
          <w:rFonts w:ascii="Times New Roman" w:hAnsi="Times New Roman" w:cs="Times New Roman"/>
          <w:w w:val="115"/>
        </w:rPr>
        <w:t>.</w:t>
      </w:r>
      <w:r w:rsidR="002301F9" w:rsidRPr="009444CD">
        <w:rPr>
          <w:rFonts w:ascii="Times New Roman" w:hAnsi="Times New Roman" w:cs="Times New Roman"/>
          <w:w w:val="115"/>
        </w:rPr>
        <w:t xml:space="preserve"> </w:t>
      </w:r>
      <w:r w:rsidR="007324F6">
        <w:rPr>
          <w:rFonts w:ascii="Times New Roman" w:hAnsi="Times New Roman" w:cs="Times New Roman"/>
          <w:w w:val="115"/>
        </w:rPr>
        <w:t xml:space="preserve">These genes are selected by proximity to the associated variant and genes </w:t>
      </w:r>
      <w:r w:rsidR="00416187">
        <w:rPr>
          <w:rFonts w:ascii="Times New Roman" w:hAnsi="Times New Roman" w:cs="Times New Roman"/>
          <w:w w:val="115"/>
        </w:rPr>
        <w:t>unknown to be regulated</w:t>
      </w:r>
      <w:r w:rsidR="004D6A3E">
        <w:rPr>
          <w:rFonts w:ascii="Times New Roman" w:hAnsi="Times New Roman" w:cs="Times New Roman"/>
          <w:w w:val="115"/>
        </w:rPr>
        <w:t xml:space="preserve"> at a distance</w:t>
      </w:r>
      <w:r w:rsidR="00BE73B9" w:rsidRPr="00BE73B9">
        <w:rPr>
          <w:rFonts w:ascii="Times New Roman" w:hAnsi="Times New Roman" w:cs="Times New Roman"/>
          <w:w w:val="115"/>
        </w:rPr>
        <w:t xml:space="preserve"> </w:t>
      </w:r>
      <w:r w:rsidR="00BE73B9">
        <w:rPr>
          <w:rFonts w:ascii="Times New Roman" w:hAnsi="Times New Roman" w:cs="Times New Roman"/>
          <w:w w:val="115"/>
        </w:rPr>
        <w:t>fail to be include</w:t>
      </w:r>
      <w:r w:rsidR="004459F8">
        <w:rPr>
          <w:rFonts w:ascii="Times New Roman" w:hAnsi="Times New Roman" w:cs="Times New Roman"/>
          <w:w w:val="115"/>
        </w:rPr>
        <w:t>, a limitation when interpreting GWAS results</w:t>
      </w:r>
      <w:r w:rsidR="004D6A3E">
        <w:rPr>
          <w:rFonts w:ascii="Times New Roman" w:hAnsi="Times New Roman" w:cs="Times New Roman"/>
          <w:w w:val="115"/>
        </w:rPr>
        <w:t>.</w:t>
      </w:r>
    </w:p>
    <w:p w14:paraId="2CAD450D" w14:textId="60245A20" w:rsidR="00D7195B" w:rsidRPr="006A236C" w:rsidRDefault="004459F8" w:rsidP="006A236C">
      <w:pPr>
        <w:pStyle w:val="BodyText"/>
        <w:spacing w:before="5" w:line="415" w:lineRule="auto"/>
        <w:ind w:left="377" w:right="821" w:firstLine="566"/>
        <w:jc w:val="both"/>
      </w:pPr>
      <w:r>
        <w:rPr>
          <w:rFonts w:ascii="Times New Roman" w:hAnsi="Times New Roman" w:cs="Times New Roman"/>
          <w:w w:val="115"/>
        </w:rPr>
        <w:t xml:space="preserve"> </w:t>
      </w:r>
      <w:r w:rsidR="00815A0E">
        <w:rPr>
          <w:w w:val="110"/>
        </w:rPr>
        <w:t>Systematic comparison of the genetic architecture across di</w:t>
      </w:r>
      <w:r w:rsidR="00815A0E">
        <w:rPr>
          <w:rFonts w:ascii="Arial" w:hAnsi="Arial"/>
          <w:w w:val="110"/>
        </w:rPr>
        <w:t>ff</w:t>
      </w:r>
      <w:r w:rsidR="00815A0E">
        <w:rPr>
          <w:w w:val="110"/>
        </w:rPr>
        <w:t xml:space="preserve">erent conditions has revealed </w:t>
      </w:r>
      <w:r w:rsidR="006A236C">
        <w:rPr>
          <w:w w:val="110"/>
        </w:rPr>
        <w:t xml:space="preserve">associated </w:t>
      </w:r>
      <w:r w:rsidR="00815A0E">
        <w:rPr>
          <w:w w:val="110"/>
        </w:rPr>
        <w:t xml:space="preserve">psoriasis and </w:t>
      </w:r>
      <w:r w:rsidR="006A236C">
        <w:rPr>
          <w:spacing w:val="-4"/>
          <w:w w:val="110"/>
        </w:rPr>
        <w:t>PsA</w:t>
      </w:r>
      <w:r w:rsidR="00815A0E">
        <w:rPr>
          <w:spacing w:val="-4"/>
          <w:w w:val="110"/>
        </w:rPr>
        <w:t xml:space="preserve"> </w:t>
      </w:r>
      <w:r w:rsidR="00815A0E">
        <w:rPr>
          <w:w w:val="110"/>
        </w:rPr>
        <w:t xml:space="preserve">risk loci </w:t>
      </w:r>
      <w:r w:rsidR="006A236C">
        <w:rPr>
          <w:w w:val="110"/>
        </w:rPr>
        <w:t>shared</w:t>
      </w:r>
      <w:r w:rsidR="00815A0E">
        <w:rPr>
          <w:w w:val="110"/>
        </w:rPr>
        <w:t xml:space="preserve">,  in the </w:t>
      </w:r>
      <w:r w:rsidR="00815A0E">
        <w:rPr>
          <w:spacing w:val="-3"/>
          <w:w w:val="110"/>
        </w:rPr>
        <w:t xml:space="preserve">same   </w:t>
      </w:r>
      <w:r w:rsidR="00815A0E">
        <w:rPr>
          <w:w w:val="110"/>
        </w:rPr>
        <w:t xml:space="preserve">or opposite directions, with AS, </w:t>
      </w:r>
      <w:r w:rsidR="00815A0E">
        <w:rPr>
          <w:spacing w:val="-4"/>
          <w:w w:val="110"/>
        </w:rPr>
        <w:t xml:space="preserve">Crohn’s </w:t>
      </w:r>
      <w:r w:rsidR="00815A0E">
        <w:rPr>
          <w:w w:val="110"/>
        </w:rPr>
        <w:t>disease (CD), multiple sclerosis</w:t>
      </w:r>
      <w:r w:rsidR="00815A0E">
        <w:rPr>
          <w:spacing w:val="16"/>
          <w:w w:val="110"/>
        </w:rPr>
        <w:t xml:space="preserve"> </w:t>
      </w:r>
      <w:r w:rsidR="00815A0E">
        <w:rPr>
          <w:spacing w:val="-3"/>
          <w:w w:val="110"/>
        </w:rPr>
        <w:t>(MS),</w:t>
      </w:r>
      <w:r w:rsidR="006A236C">
        <w:t xml:space="preserve"> </w:t>
      </w:r>
      <w:r w:rsidR="00815A0E">
        <w:rPr>
          <w:w w:val="105"/>
        </w:rPr>
        <w:t>RA</w:t>
      </w:r>
      <w:r w:rsidR="00815A0E">
        <w:rPr>
          <w:spacing w:val="-22"/>
          <w:w w:val="105"/>
        </w:rPr>
        <w:t xml:space="preserve"> </w:t>
      </w:r>
      <w:r w:rsidR="00815A0E">
        <w:rPr>
          <w:w w:val="105"/>
        </w:rPr>
        <w:t>and</w:t>
      </w:r>
      <w:r w:rsidR="00815A0E">
        <w:rPr>
          <w:spacing w:val="-22"/>
          <w:w w:val="105"/>
        </w:rPr>
        <w:t xml:space="preserve"> </w:t>
      </w:r>
      <w:r w:rsidR="00815A0E">
        <w:rPr>
          <w:w w:val="105"/>
        </w:rPr>
        <w:t>type</w:t>
      </w:r>
      <w:r w:rsidR="00815A0E">
        <w:rPr>
          <w:spacing w:val="-21"/>
          <w:w w:val="105"/>
        </w:rPr>
        <w:t xml:space="preserve"> </w:t>
      </w:r>
      <w:r w:rsidR="00815A0E">
        <w:rPr>
          <w:w w:val="105"/>
        </w:rPr>
        <w:t>1</w:t>
      </w:r>
      <w:r w:rsidR="00815A0E">
        <w:rPr>
          <w:spacing w:val="-21"/>
          <w:w w:val="105"/>
        </w:rPr>
        <w:t xml:space="preserve"> </w:t>
      </w:r>
      <w:r w:rsidR="00815A0E">
        <w:rPr>
          <w:w w:val="105"/>
        </w:rPr>
        <w:t>diabetes</w:t>
      </w:r>
      <w:r w:rsidR="00815A0E">
        <w:rPr>
          <w:spacing w:val="-22"/>
          <w:w w:val="105"/>
        </w:rPr>
        <w:t xml:space="preserve"> </w:t>
      </w:r>
      <w:r w:rsidR="00815A0E">
        <w:rPr>
          <w:w w:val="105"/>
        </w:rPr>
        <w:t>(T1D)</w:t>
      </w:r>
      <w:r w:rsidR="006A236C">
        <w:rPr>
          <w:w w:val="105"/>
        </w:rPr>
        <w:t xml:space="preserve"> (ImmunoBase)</w:t>
      </w:r>
      <w:r w:rsidR="00815A0E">
        <w:rPr>
          <w:w w:val="105"/>
        </w:rPr>
        <w:t xml:space="preserve">. </w:t>
      </w:r>
      <w:r w:rsidR="007A2FD9">
        <w:rPr>
          <w:rFonts w:ascii="Times New Roman" w:hAnsi="Times New Roman" w:cs="Times New Roman"/>
          <w:w w:val="115"/>
        </w:rPr>
        <w:t>This</w:t>
      </w:r>
      <w:r w:rsidR="00D7195B" w:rsidRPr="004459F8">
        <w:rPr>
          <w:rFonts w:ascii="Times New Roman" w:hAnsi="Times New Roman" w:cs="Times New Roman"/>
          <w:w w:val="115"/>
        </w:rPr>
        <w:t xml:space="preserve"> </w:t>
      </w:r>
      <w:r w:rsidR="00060128">
        <w:rPr>
          <w:rFonts w:ascii="Times New Roman" w:hAnsi="Times New Roman" w:cs="Times New Roman"/>
          <w:w w:val="115"/>
        </w:rPr>
        <w:t xml:space="preserve">has </w:t>
      </w:r>
      <w:r w:rsidR="00D7195B" w:rsidRPr="004459F8">
        <w:rPr>
          <w:rFonts w:ascii="Times New Roman" w:hAnsi="Times New Roman" w:cs="Times New Roman"/>
          <w:w w:val="115"/>
        </w:rPr>
        <w:t xml:space="preserve">supported </w:t>
      </w:r>
      <w:r w:rsidR="007A2FD9">
        <w:rPr>
          <w:rFonts w:ascii="Times New Roman" w:hAnsi="Times New Roman" w:cs="Times New Roman"/>
          <w:w w:val="115"/>
        </w:rPr>
        <w:t xml:space="preserve">the </w:t>
      </w:r>
      <w:r w:rsidR="00D7195B" w:rsidRPr="004459F8">
        <w:rPr>
          <w:rFonts w:ascii="Times New Roman" w:hAnsi="Times New Roman" w:cs="Times New Roman"/>
          <w:w w:val="115"/>
        </w:rPr>
        <w:t>use of therapeutic interventions such as anti- IL-23 and anti- IL-17 antibodies</w:t>
      </w:r>
      <w:r w:rsidR="007A2FD9">
        <w:rPr>
          <w:rFonts w:ascii="Times New Roman" w:hAnsi="Times New Roman" w:cs="Times New Roman"/>
          <w:w w:val="115"/>
        </w:rPr>
        <w:t xml:space="preserve"> to treat a number of </w:t>
      </w:r>
      <w:r w:rsidR="007A2FD9">
        <w:rPr>
          <w:rFonts w:ascii="Times New Roman" w:hAnsi="Times New Roman" w:cs="Times New Roman"/>
          <w:w w:val="115"/>
        </w:rPr>
        <w:lastRenderedPageBreak/>
        <w:t>immune-related phenotypes including psoriasis</w:t>
      </w:r>
      <w:r w:rsidR="00D7195B" w:rsidRPr="004459F8">
        <w:rPr>
          <w:rFonts w:ascii="Times New Roman" w:hAnsi="Times New Roman" w:cs="Times New Roman"/>
          <w:w w:val="115"/>
        </w:rPr>
        <w:t>, PsA, AS and IBD</w:t>
      </w:r>
      <w:r w:rsidR="007A2FD9">
        <w:rPr>
          <w:rFonts w:ascii="Times New Roman" w:hAnsi="Times New Roman" w:cs="Times New Roman"/>
          <w:w w:val="115"/>
        </w:rPr>
        <w:t>, amongst others</w:t>
      </w:r>
      <w:r w:rsidR="00D7195B" w:rsidRPr="004459F8">
        <w:rPr>
          <w:rFonts w:ascii="Times New Roman" w:hAnsi="Times New Roman" w:cs="Times New Roman"/>
          <w:w w:val="115"/>
        </w:rPr>
        <w:t xml:space="preserve"> (Visscher et al. 2017).</w:t>
      </w:r>
    </w:p>
    <w:p w14:paraId="2091463A" w14:textId="025476FB" w:rsidR="00530B5F" w:rsidRPr="00530B5F" w:rsidRDefault="00530B5F" w:rsidP="00C50F37">
      <w:pPr>
        <w:widowControl w:val="0"/>
        <w:autoSpaceDE w:val="0"/>
        <w:autoSpaceDN w:val="0"/>
        <w:spacing w:after="0" w:line="415" w:lineRule="auto"/>
        <w:ind w:left="377" w:right="821" w:firstLine="566"/>
        <w:jc w:val="both"/>
        <w:rPr>
          <w:rFonts w:ascii="Times New Roman" w:eastAsia="Times New Roman" w:hAnsi="Times New Roman" w:cs="Times New Roman"/>
          <w:w w:val="110"/>
          <w:sz w:val="24"/>
          <w:szCs w:val="24"/>
        </w:rPr>
      </w:pPr>
      <w:r w:rsidRPr="00530B5F">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003FD1E0" wp14:editId="2B6337B2">
                <wp:simplePos x="0" y="0"/>
                <wp:positionH relativeFrom="page">
                  <wp:posOffset>1833245</wp:posOffset>
                </wp:positionH>
                <wp:positionV relativeFrom="paragraph">
                  <wp:posOffset>1354455</wp:posOffset>
                </wp:positionV>
                <wp:extent cx="45720" cy="0"/>
                <wp:effectExtent l="0" t="0" r="5080" b="0"/>
                <wp:wrapNone/>
                <wp:docPr id="7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A40CA" id="Line 5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35pt,106.65pt" to="147.95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" strokeweight=".14042mm">
                <o:lock v:ext="edit" shapetype="f"/>
                <w10:wrap anchorx="page"/>
              </v:line>
            </w:pict>
          </mc:Fallback>
        </mc:AlternateContent>
      </w:r>
      <w:r w:rsidRPr="00530B5F">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185C7FC9" wp14:editId="2F9EF4E6">
                <wp:simplePos x="0" y="0"/>
                <wp:positionH relativeFrom="page">
                  <wp:posOffset>2343150</wp:posOffset>
                </wp:positionH>
                <wp:positionV relativeFrom="paragraph">
                  <wp:posOffset>1354455</wp:posOffset>
                </wp:positionV>
                <wp:extent cx="45720" cy="0"/>
                <wp:effectExtent l="0" t="0" r="5080" b="0"/>
                <wp:wrapNone/>
                <wp:docPr id="7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8CDCA" id="Line 5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4.5pt,106.65pt" to="188.1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" strokeweight=".14042mm">
                <o:lock v:ext="edit" shapetype="f"/>
                <w10:wrap anchorx="page"/>
              </v:line>
            </w:pict>
          </mc:Fallback>
        </mc:AlternateContent>
      </w:r>
      <w:r w:rsidRPr="00530B5F">
        <w:rPr>
          <w:rFonts w:ascii="Times New Roman" w:eastAsia="Times New Roman" w:hAnsi="Times New Roman" w:cs="Times New Roman"/>
          <w:spacing w:val="-8"/>
          <w:w w:val="110"/>
          <w:sz w:val="24"/>
          <w:szCs w:val="24"/>
        </w:rPr>
        <w:t xml:space="preserve">GWAS </w:t>
      </w:r>
      <w:r w:rsidRPr="00530B5F">
        <w:rPr>
          <w:rFonts w:ascii="Times New Roman" w:eastAsia="Times New Roman" w:hAnsi="Times New Roman" w:cs="Times New Roman"/>
          <w:w w:val="110"/>
          <w:sz w:val="24"/>
          <w:szCs w:val="24"/>
        </w:rPr>
        <w:t xml:space="preserve">have highlighted </w:t>
      </w:r>
      <w:r>
        <w:rPr>
          <w:rFonts w:ascii="Times New Roman" w:eastAsia="Times New Roman" w:hAnsi="Times New Roman" w:cs="Times New Roman"/>
          <w:spacing w:val="-8"/>
          <w:w w:val="110"/>
          <w:sz w:val="24"/>
          <w:szCs w:val="24"/>
        </w:rPr>
        <w:t>keratinocyte-</w:t>
      </w:r>
      <w:r w:rsidRPr="00530B5F">
        <w:rPr>
          <w:rFonts w:ascii="Times New Roman" w:eastAsia="Times New Roman" w:hAnsi="Times New Roman" w:cs="Times New Roman"/>
          <w:w w:val="110"/>
          <w:sz w:val="24"/>
          <w:szCs w:val="24"/>
        </w:rPr>
        <w:t xml:space="preserve">specific genes such the </w:t>
      </w:r>
      <w:r w:rsidRPr="00530B5F">
        <w:rPr>
          <w:rFonts w:ascii="Times New Roman" w:eastAsia="Times New Roman" w:hAnsi="Times New Roman" w:cs="Times New Roman"/>
          <w:i/>
          <w:w w:val="110"/>
          <w:sz w:val="24"/>
          <w:szCs w:val="24"/>
        </w:rPr>
        <w:t xml:space="preserve">LCE </w:t>
      </w:r>
      <w:r w:rsidRPr="00530B5F">
        <w:rPr>
          <w:rFonts w:ascii="Times New Roman" w:eastAsia="Times New Roman" w:hAnsi="Times New Roman" w:cs="Times New Roman"/>
          <w:w w:val="110"/>
          <w:sz w:val="24"/>
          <w:szCs w:val="24"/>
        </w:rPr>
        <w:t xml:space="preserve">gene cluster and genes with a key role in skin biology such as </w:t>
      </w:r>
      <w:r w:rsidRPr="00530B5F">
        <w:rPr>
          <w:rFonts w:ascii="Times New Roman" w:eastAsia="Times New Roman" w:hAnsi="Times New Roman" w:cs="Times New Roman"/>
          <w:i/>
          <w:w w:val="110"/>
          <w:sz w:val="24"/>
          <w:szCs w:val="24"/>
        </w:rPr>
        <w:t>CARD14</w:t>
      </w:r>
      <w:r w:rsidRPr="00530B5F">
        <w:rPr>
          <w:rFonts w:ascii="Times New Roman" w:eastAsia="Times New Roman" w:hAnsi="Times New Roman" w:cs="Times New Roman"/>
          <w:w w:val="110"/>
          <w:sz w:val="24"/>
          <w:szCs w:val="24"/>
        </w:rPr>
        <w:t xml:space="preserve">. </w:t>
      </w:r>
      <w:commentRangeStart w:id="0"/>
      <w:r w:rsidRPr="00530B5F">
        <w:rPr>
          <w:rFonts w:ascii="Times New Roman" w:eastAsia="Times New Roman" w:hAnsi="Times New Roman" w:cs="Times New Roman"/>
          <w:w w:val="110"/>
          <w:sz w:val="24"/>
          <w:szCs w:val="24"/>
        </w:rPr>
        <w:t>Further</w:t>
      </w:r>
      <w:r w:rsidRPr="00530B5F">
        <w:rPr>
          <w:rFonts w:ascii="Times New Roman" w:eastAsia="Times New Roman" w:hAnsi="Times New Roman" w:cs="Times New Roman"/>
          <w:spacing w:val="-5"/>
          <w:w w:val="110"/>
          <w:sz w:val="24"/>
          <w:szCs w:val="24"/>
        </w:rPr>
        <w:t xml:space="preserve"> </w:t>
      </w:r>
      <w:r w:rsidRPr="00530B5F">
        <w:rPr>
          <w:rFonts w:ascii="Times New Roman" w:eastAsia="Times New Roman" w:hAnsi="Times New Roman" w:cs="Times New Roman"/>
          <w:w w:val="110"/>
          <w:sz w:val="24"/>
          <w:szCs w:val="24"/>
        </w:rPr>
        <w:t>studies</w:t>
      </w:r>
      <w:r w:rsidRPr="00530B5F">
        <w:rPr>
          <w:rFonts w:ascii="Times New Roman" w:eastAsia="Times New Roman" w:hAnsi="Times New Roman" w:cs="Times New Roman"/>
          <w:spacing w:val="-5"/>
          <w:w w:val="110"/>
          <w:sz w:val="24"/>
          <w:szCs w:val="24"/>
        </w:rPr>
        <w:t xml:space="preserve"> </w:t>
      </w:r>
      <w:r w:rsidRPr="00530B5F">
        <w:rPr>
          <w:rFonts w:ascii="Times New Roman" w:eastAsia="Times New Roman" w:hAnsi="Times New Roman" w:cs="Times New Roman"/>
          <w:w w:val="110"/>
          <w:sz w:val="24"/>
          <w:szCs w:val="24"/>
        </w:rPr>
        <w:t>in</w:t>
      </w:r>
      <w:r w:rsidRPr="00530B5F">
        <w:rPr>
          <w:rFonts w:ascii="Times New Roman" w:eastAsia="Times New Roman" w:hAnsi="Times New Roman" w:cs="Times New Roman"/>
          <w:spacing w:val="-4"/>
          <w:w w:val="110"/>
          <w:sz w:val="24"/>
          <w:szCs w:val="24"/>
        </w:rPr>
        <w:t xml:space="preserve"> </w:t>
      </w:r>
      <w:r w:rsidRPr="00530B5F">
        <w:rPr>
          <w:rFonts w:ascii="Times New Roman" w:eastAsia="Times New Roman" w:hAnsi="Times New Roman" w:cs="Times New Roman"/>
          <w:w w:val="110"/>
          <w:sz w:val="24"/>
          <w:szCs w:val="24"/>
        </w:rPr>
        <w:t>the</w:t>
      </w:r>
      <w:r w:rsidRPr="00530B5F">
        <w:rPr>
          <w:rFonts w:ascii="Times New Roman" w:eastAsia="Times New Roman" w:hAnsi="Times New Roman" w:cs="Times New Roman"/>
          <w:spacing w:val="-5"/>
          <w:w w:val="110"/>
          <w:sz w:val="24"/>
          <w:szCs w:val="24"/>
        </w:rPr>
        <w:t xml:space="preserve"> </w:t>
      </w:r>
      <w:r w:rsidRPr="00530B5F">
        <w:rPr>
          <w:rFonts w:ascii="Times New Roman" w:eastAsia="Times New Roman" w:hAnsi="Times New Roman" w:cs="Times New Roman"/>
          <w:i/>
          <w:w w:val="110"/>
          <w:sz w:val="24"/>
          <w:szCs w:val="24"/>
        </w:rPr>
        <w:t>PSORS4</w:t>
      </w:r>
      <w:r w:rsidRPr="00530B5F">
        <w:rPr>
          <w:rFonts w:ascii="Times New Roman" w:eastAsia="Times New Roman" w:hAnsi="Times New Roman" w:cs="Times New Roman"/>
          <w:i/>
          <w:spacing w:val="-5"/>
          <w:w w:val="110"/>
          <w:sz w:val="24"/>
          <w:szCs w:val="24"/>
        </w:rPr>
        <w:t xml:space="preserve"> </w:t>
      </w:r>
      <w:r w:rsidRPr="00530B5F">
        <w:rPr>
          <w:rFonts w:ascii="Times New Roman" w:eastAsia="Times New Roman" w:hAnsi="Times New Roman" w:cs="Times New Roman"/>
          <w:w w:val="110"/>
          <w:sz w:val="24"/>
          <w:szCs w:val="24"/>
        </w:rPr>
        <w:t>region</w:t>
      </w:r>
      <w:r w:rsidRPr="00530B5F">
        <w:rPr>
          <w:rFonts w:ascii="Times New Roman" w:eastAsia="Times New Roman" w:hAnsi="Times New Roman" w:cs="Times New Roman"/>
          <w:spacing w:val="-4"/>
          <w:w w:val="110"/>
          <w:sz w:val="24"/>
          <w:szCs w:val="24"/>
        </w:rPr>
        <w:t xml:space="preserve"> </w:t>
      </w:r>
      <w:r w:rsidRPr="00530B5F">
        <w:rPr>
          <w:rFonts w:ascii="Times New Roman" w:eastAsia="Times New Roman" w:hAnsi="Times New Roman" w:cs="Times New Roman"/>
          <w:w w:val="110"/>
          <w:sz w:val="24"/>
          <w:szCs w:val="24"/>
        </w:rPr>
        <w:t>have</w:t>
      </w:r>
      <w:r w:rsidRPr="00530B5F">
        <w:rPr>
          <w:rFonts w:ascii="Times New Roman" w:eastAsia="Times New Roman" w:hAnsi="Times New Roman" w:cs="Times New Roman"/>
          <w:spacing w:val="-5"/>
          <w:w w:val="110"/>
          <w:sz w:val="24"/>
          <w:szCs w:val="24"/>
        </w:rPr>
        <w:t xml:space="preserve"> </w:t>
      </w:r>
      <w:r w:rsidRPr="00530B5F">
        <w:rPr>
          <w:rFonts w:ascii="Times New Roman" w:eastAsia="Times New Roman" w:hAnsi="Times New Roman" w:cs="Times New Roman"/>
          <w:w w:val="110"/>
          <w:sz w:val="24"/>
          <w:szCs w:val="24"/>
        </w:rPr>
        <w:t>revealed</w:t>
      </w:r>
      <w:r w:rsidRPr="00530B5F">
        <w:rPr>
          <w:rFonts w:ascii="Times New Roman" w:eastAsia="Times New Roman" w:hAnsi="Times New Roman" w:cs="Times New Roman"/>
          <w:spacing w:val="-4"/>
          <w:w w:val="110"/>
          <w:sz w:val="24"/>
          <w:szCs w:val="24"/>
        </w:rPr>
        <w:t xml:space="preserve"> </w:t>
      </w:r>
      <w:r w:rsidRPr="00530B5F">
        <w:rPr>
          <w:rFonts w:ascii="Times New Roman" w:eastAsia="Times New Roman" w:hAnsi="Times New Roman" w:cs="Times New Roman"/>
          <w:w w:val="110"/>
          <w:sz w:val="24"/>
          <w:szCs w:val="24"/>
        </w:rPr>
        <w:t>that</w:t>
      </w:r>
      <w:r w:rsidRPr="00530B5F">
        <w:rPr>
          <w:rFonts w:ascii="Times New Roman" w:eastAsia="Times New Roman" w:hAnsi="Times New Roman" w:cs="Times New Roman"/>
          <w:spacing w:val="-5"/>
          <w:w w:val="110"/>
          <w:sz w:val="24"/>
          <w:szCs w:val="24"/>
        </w:rPr>
        <w:t xml:space="preserve"> </w:t>
      </w:r>
      <w:r w:rsidRPr="00530B5F">
        <w:rPr>
          <w:rFonts w:ascii="Times New Roman" w:eastAsia="Times New Roman" w:hAnsi="Times New Roman" w:cs="Times New Roman"/>
          <w:w w:val="110"/>
          <w:sz w:val="24"/>
          <w:szCs w:val="24"/>
        </w:rPr>
        <w:t>association</w:t>
      </w:r>
      <w:r w:rsidRPr="00530B5F">
        <w:rPr>
          <w:rFonts w:ascii="Times New Roman" w:eastAsia="Times New Roman" w:hAnsi="Times New Roman" w:cs="Times New Roman"/>
          <w:spacing w:val="-5"/>
          <w:w w:val="110"/>
          <w:sz w:val="24"/>
          <w:szCs w:val="24"/>
        </w:rPr>
        <w:t xml:space="preserve"> </w:t>
      </w:r>
      <w:r w:rsidRPr="00530B5F">
        <w:rPr>
          <w:rFonts w:ascii="Times New Roman" w:eastAsia="Times New Roman" w:hAnsi="Times New Roman" w:cs="Times New Roman"/>
          <w:w w:val="110"/>
          <w:sz w:val="24"/>
          <w:szCs w:val="24"/>
        </w:rPr>
        <w:t>with</w:t>
      </w:r>
      <w:r w:rsidRPr="00530B5F">
        <w:rPr>
          <w:rFonts w:ascii="Times New Roman" w:eastAsia="Times New Roman" w:hAnsi="Times New Roman" w:cs="Times New Roman"/>
          <w:spacing w:val="-4"/>
          <w:w w:val="110"/>
          <w:sz w:val="24"/>
          <w:szCs w:val="24"/>
        </w:rPr>
        <w:t xml:space="preserve"> </w:t>
      </w:r>
      <w:r w:rsidRPr="00530B5F">
        <w:rPr>
          <w:rFonts w:ascii="Times New Roman" w:eastAsia="Times New Roman" w:hAnsi="Times New Roman" w:cs="Times New Roman"/>
          <w:w w:val="110"/>
          <w:sz w:val="24"/>
          <w:szCs w:val="24"/>
        </w:rPr>
        <w:t xml:space="preserve">disease is driven by a deletion in two of the genes within this </w:t>
      </w:r>
      <w:r w:rsidRPr="00530B5F">
        <w:rPr>
          <w:rFonts w:ascii="Times New Roman" w:eastAsia="Times New Roman" w:hAnsi="Times New Roman" w:cs="Times New Roman"/>
          <w:spacing w:val="-5"/>
          <w:w w:val="110"/>
          <w:sz w:val="24"/>
          <w:szCs w:val="24"/>
        </w:rPr>
        <w:t xml:space="preserve">family, </w:t>
      </w:r>
      <w:r w:rsidRPr="00530B5F">
        <w:rPr>
          <w:rFonts w:ascii="Times New Roman" w:eastAsia="Times New Roman" w:hAnsi="Times New Roman" w:cs="Times New Roman"/>
          <w:i/>
          <w:w w:val="110"/>
          <w:sz w:val="24"/>
          <w:szCs w:val="24"/>
        </w:rPr>
        <w:t xml:space="preserve">LCE3B </w:t>
      </w:r>
      <w:r w:rsidRPr="00530B5F">
        <w:rPr>
          <w:rFonts w:ascii="Times New Roman" w:eastAsia="Times New Roman" w:hAnsi="Times New Roman" w:cs="Times New Roman"/>
          <w:w w:val="110"/>
          <w:sz w:val="24"/>
          <w:szCs w:val="24"/>
        </w:rPr>
        <w:t>and</w:t>
      </w:r>
      <w:r w:rsidRPr="00530B5F">
        <w:rPr>
          <w:rFonts w:ascii="Times New Roman" w:eastAsia="Times New Roman" w:hAnsi="Times New Roman" w:cs="Times New Roman"/>
          <w:spacing w:val="-45"/>
          <w:w w:val="110"/>
          <w:sz w:val="24"/>
          <w:szCs w:val="24"/>
        </w:rPr>
        <w:t xml:space="preserve"> </w:t>
      </w:r>
      <w:r w:rsidRPr="00530B5F">
        <w:rPr>
          <w:rFonts w:ascii="Times New Roman" w:eastAsia="Times New Roman" w:hAnsi="Times New Roman" w:cs="Times New Roman"/>
          <w:i/>
          <w:w w:val="110"/>
          <w:sz w:val="24"/>
          <w:szCs w:val="24"/>
        </w:rPr>
        <w:t xml:space="preserve">LCE3C </w:t>
      </w:r>
      <w:r w:rsidRPr="00530B5F">
        <w:rPr>
          <w:rFonts w:ascii="Times New Roman" w:eastAsia="Times New Roman" w:hAnsi="Times New Roman" w:cs="Times New Roman"/>
          <w:w w:val="110"/>
          <w:sz w:val="24"/>
          <w:szCs w:val="24"/>
        </w:rPr>
        <w:t>(</w:t>
      </w:r>
      <w:r w:rsidRPr="00530B5F">
        <w:rPr>
          <w:rFonts w:ascii="Times New Roman" w:eastAsia="Times New Roman" w:hAnsi="Times New Roman" w:cs="Times New Roman"/>
          <w:i/>
          <w:w w:val="110"/>
          <w:sz w:val="24"/>
          <w:szCs w:val="24"/>
        </w:rPr>
        <w:t>LCE3C</w:t>
      </w:r>
      <w:r w:rsidRPr="00530B5F">
        <w:rPr>
          <w:rFonts w:ascii="Times New Roman" w:eastAsia="Times New Roman" w:hAnsi="Times New Roman" w:cs="Times New Roman"/>
          <w:i/>
          <w:spacing w:val="-12"/>
          <w:w w:val="110"/>
          <w:sz w:val="24"/>
          <w:szCs w:val="24"/>
        </w:rPr>
        <w:t xml:space="preserve"> </w:t>
      </w:r>
      <w:r w:rsidRPr="00530B5F">
        <w:rPr>
          <w:rFonts w:ascii="Times New Roman" w:eastAsia="Times New Roman" w:hAnsi="Times New Roman" w:cs="Times New Roman"/>
          <w:i/>
          <w:w w:val="110"/>
          <w:sz w:val="24"/>
          <w:szCs w:val="24"/>
        </w:rPr>
        <w:t>LCE3B</w:t>
      </w:r>
      <w:r w:rsidRPr="00530B5F">
        <w:rPr>
          <w:rFonts w:ascii="Times New Roman" w:eastAsia="Times New Roman" w:hAnsi="Times New Roman" w:cs="Times New Roman"/>
          <w:i/>
          <w:spacing w:val="-12"/>
          <w:w w:val="110"/>
          <w:sz w:val="24"/>
          <w:szCs w:val="24"/>
        </w:rPr>
        <w:t xml:space="preserve"> </w:t>
      </w:r>
      <w:r w:rsidRPr="00530B5F">
        <w:rPr>
          <w:rFonts w:ascii="Times New Roman" w:eastAsia="Times New Roman" w:hAnsi="Times New Roman" w:cs="Times New Roman"/>
          <w:i/>
          <w:w w:val="110"/>
          <w:sz w:val="24"/>
          <w:szCs w:val="24"/>
        </w:rPr>
        <w:t>del</w:t>
      </w:r>
      <w:r w:rsidRPr="00530B5F">
        <w:rPr>
          <w:rFonts w:ascii="Times New Roman" w:eastAsia="Times New Roman" w:hAnsi="Times New Roman" w:cs="Times New Roman"/>
          <w:w w:val="110"/>
          <w:sz w:val="24"/>
          <w:szCs w:val="24"/>
        </w:rPr>
        <w:t>)(Cid</w:t>
      </w:r>
      <w:r w:rsidRPr="00530B5F">
        <w:rPr>
          <w:rFonts w:ascii="Times New Roman" w:eastAsia="Times New Roman" w:hAnsi="Times New Roman" w:cs="Times New Roman"/>
          <w:spacing w:val="-30"/>
          <w:w w:val="110"/>
          <w:sz w:val="24"/>
          <w:szCs w:val="24"/>
        </w:rPr>
        <w:t xml:space="preserve"> </w:t>
      </w:r>
      <w:r w:rsidRPr="00530B5F">
        <w:rPr>
          <w:rFonts w:ascii="Times New Roman" w:eastAsia="Times New Roman" w:hAnsi="Times New Roman" w:cs="Times New Roman"/>
          <w:w w:val="110"/>
          <w:sz w:val="24"/>
          <w:szCs w:val="24"/>
        </w:rPr>
        <w:t>et</w:t>
      </w:r>
      <w:r w:rsidRPr="00530B5F">
        <w:rPr>
          <w:rFonts w:ascii="Times New Roman" w:eastAsia="Times New Roman" w:hAnsi="Times New Roman" w:cs="Times New Roman"/>
          <w:spacing w:val="-30"/>
          <w:w w:val="110"/>
          <w:sz w:val="24"/>
          <w:szCs w:val="24"/>
        </w:rPr>
        <w:t xml:space="preserve"> </w:t>
      </w:r>
      <w:r w:rsidRPr="00530B5F">
        <w:rPr>
          <w:rFonts w:ascii="Times New Roman" w:eastAsia="Times New Roman" w:hAnsi="Times New Roman" w:cs="Times New Roman"/>
          <w:w w:val="110"/>
          <w:sz w:val="24"/>
          <w:szCs w:val="24"/>
        </w:rPr>
        <w:t>al.</w:t>
      </w:r>
      <w:r w:rsidRPr="00530B5F">
        <w:rPr>
          <w:rFonts w:ascii="Times New Roman" w:eastAsia="Times New Roman" w:hAnsi="Times New Roman" w:cs="Times New Roman"/>
          <w:spacing w:val="-30"/>
          <w:w w:val="110"/>
          <w:sz w:val="24"/>
          <w:szCs w:val="24"/>
        </w:rPr>
        <w:t xml:space="preserve"> </w:t>
      </w:r>
      <w:r w:rsidRPr="00530B5F">
        <w:rPr>
          <w:rFonts w:ascii="Times New Roman" w:eastAsia="Times New Roman" w:hAnsi="Times New Roman" w:cs="Times New Roman"/>
          <w:w w:val="110"/>
          <w:sz w:val="24"/>
          <w:szCs w:val="24"/>
        </w:rPr>
        <w:t>2009).</w:t>
      </w:r>
      <w:r w:rsidRPr="00530B5F">
        <w:rPr>
          <w:rFonts w:ascii="Times New Roman" w:eastAsia="Times New Roman" w:hAnsi="Times New Roman" w:cs="Times New Roman"/>
          <w:spacing w:val="-19"/>
          <w:w w:val="110"/>
          <w:sz w:val="24"/>
          <w:szCs w:val="24"/>
        </w:rPr>
        <w:t xml:space="preserve"> </w:t>
      </w:r>
      <w:r w:rsidRPr="00530B5F">
        <w:rPr>
          <w:rFonts w:ascii="Times New Roman" w:eastAsia="Times New Roman" w:hAnsi="Times New Roman" w:cs="Times New Roman"/>
          <w:w w:val="110"/>
          <w:sz w:val="24"/>
          <w:szCs w:val="24"/>
        </w:rPr>
        <w:t>The</w:t>
      </w:r>
      <w:r w:rsidRPr="00530B5F">
        <w:rPr>
          <w:rFonts w:ascii="Times New Roman" w:eastAsia="Times New Roman" w:hAnsi="Times New Roman" w:cs="Times New Roman"/>
          <w:spacing w:val="-17"/>
          <w:w w:val="110"/>
          <w:sz w:val="24"/>
          <w:szCs w:val="24"/>
        </w:rPr>
        <w:t xml:space="preserve"> </w:t>
      </w:r>
      <w:r w:rsidRPr="00530B5F">
        <w:rPr>
          <w:rFonts w:ascii="Times New Roman" w:eastAsia="Times New Roman" w:hAnsi="Times New Roman" w:cs="Times New Roman"/>
          <w:w w:val="110"/>
          <w:sz w:val="24"/>
          <w:szCs w:val="24"/>
        </w:rPr>
        <w:t>lack</w:t>
      </w:r>
      <w:r w:rsidRPr="00530B5F">
        <w:rPr>
          <w:rFonts w:ascii="Times New Roman" w:eastAsia="Times New Roman" w:hAnsi="Times New Roman" w:cs="Times New Roman"/>
          <w:spacing w:val="-17"/>
          <w:w w:val="110"/>
          <w:sz w:val="24"/>
          <w:szCs w:val="24"/>
        </w:rPr>
        <w:t xml:space="preserve"> </w:t>
      </w:r>
      <w:r w:rsidRPr="00530B5F">
        <w:rPr>
          <w:rFonts w:ascii="Times New Roman" w:eastAsia="Times New Roman" w:hAnsi="Times New Roman" w:cs="Times New Roman"/>
          <w:w w:val="110"/>
          <w:sz w:val="24"/>
          <w:szCs w:val="24"/>
        </w:rPr>
        <w:t>of</w:t>
      </w:r>
      <w:r w:rsidRPr="00530B5F">
        <w:rPr>
          <w:rFonts w:ascii="Times New Roman" w:eastAsia="Times New Roman" w:hAnsi="Times New Roman" w:cs="Times New Roman"/>
          <w:spacing w:val="-16"/>
          <w:w w:val="110"/>
          <w:sz w:val="24"/>
          <w:szCs w:val="24"/>
        </w:rPr>
        <w:t xml:space="preserve"> </w:t>
      </w:r>
      <w:r w:rsidRPr="00530B5F">
        <w:rPr>
          <w:rFonts w:ascii="Times New Roman" w:eastAsia="Times New Roman" w:hAnsi="Times New Roman" w:cs="Times New Roman"/>
          <w:i/>
          <w:w w:val="110"/>
          <w:sz w:val="24"/>
          <w:szCs w:val="24"/>
        </w:rPr>
        <w:t xml:space="preserve">LCE3B </w:t>
      </w:r>
      <w:r w:rsidRPr="00530B5F">
        <w:rPr>
          <w:rFonts w:ascii="Times New Roman" w:eastAsia="Times New Roman" w:hAnsi="Times New Roman" w:cs="Times New Roman"/>
          <w:w w:val="110"/>
          <w:sz w:val="24"/>
          <w:szCs w:val="24"/>
        </w:rPr>
        <w:t xml:space="preserve">and </w:t>
      </w:r>
      <w:r w:rsidRPr="00530B5F">
        <w:rPr>
          <w:rFonts w:ascii="Times New Roman" w:eastAsia="Times New Roman" w:hAnsi="Times New Roman" w:cs="Times New Roman"/>
          <w:i/>
          <w:w w:val="110"/>
          <w:sz w:val="24"/>
          <w:szCs w:val="24"/>
        </w:rPr>
        <w:t xml:space="preserve">LCE3C </w:t>
      </w:r>
      <w:r w:rsidRPr="00530B5F">
        <w:rPr>
          <w:rFonts w:ascii="Times New Roman" w:eastAsia="Times New Roman" w:hAnsi="Times New Roman" w:cs="Times New Roman"/>
          <w:w w:val="110"/>
          <w:sz w:val="24"/>
          <w:szCs w:val="24"/>
        </w:rPr>
        <w:t xml:space="preserve">expression in psoriasis patients has been hypothesised to impair the repair following skin disruption, potentially facilitating microorganism infection and triggering a dysregulated immune response (Bergboer et al. 2011). </w:t>
      </w:r>
      <w:r w:rsidR="00C50F37">
        <w:rPr>
          <w:rFonts w:ascii="Times New Roman" w:eastAsia="Times New Roman" w:hAnsi="Times New Roman" w:cs="Times New Roman"/>
          <w:w w:val="110"/>
          <w:sz w:val="24"/>
          <w:szCs w:val="24"/>
        </w:rPr>
        <w:t xml:space="preserve"> </w:t>
      </w:r>
      <w:r w:rsidR="00C50F37">
        <w:rPr>
          <w:rFonts w:ascii="Times New Roman" w:eastAsia="Times New Roman" w:hAnsi="Times New Roman" w:cs="Times New Roman"/>
          <w:i/>
          <w:w w:val="110"/>
          <w:sz w:val="24"/>
          <w:szCs w:val="24"/>
        </w:rPr>
        <w:t>C</w:t>
      </w:r>
      <w:r w:rsidRPr="00530B5F">
        <w:rPr>
          <w:rFonts w:ascii="Times New Roman" w:eastAsia="Times New Roman" w:hAnsi="Times New Roman" w:cs="Times New Roman"/>
          <w:w w:val="110"/>
          <w:sz w:val="24"/>
          <w:szCs w:val="24"/>
        </w:rPr>
        <w:t>ommon</w:t>
      </w:r>
      <w:r w:rsidRPr="00530B5F">
        <w:rPr>
          <w:rFonts w:ascii="Times New Roman" w:eastAsia="Times New Roman" w:hAnsi="Times New Roman" w:cs="Times New Roman"/>
          <w:spacing w:val="-15"/>
          <w:w w:val="110"/>
          <w:sz w:val="24"/>
          <w:szCs w:val="24"/>
        </w:rPr>
        <w:t xml:space="preserve"> </w:t>
      </w:r>
      <w:r w:rsidRPr="00530B5F">
        <w:rPr>
          <w:rFonts w:ascii="Times New Roman" w:eastAsia="Times New Roman" w:hAnsi="Times New Roman" w:cs="Times New Roman"/>
          <w:w w:val="110"/>
          <w:sz w:val="24"/>
          <w:szCs w:val="24"/>
        </w:rPr>
        <w:t>and</w:t>
      </w:r>
      <w:r w:rsidRPr="00530B5F">
        <w:rPr>
          <w:rFonts w:ascii="Times New Roman" w:eastAsia="Times New Roman" w:hAnsi="Times New Roman" w:cs="Times New Roman"/>
          <w:spacing w:val="-16"/>
          <w:w w:val="110"/>
          <w:sz w:val="24"/>
          <w:szCs w:val="24"/>
        </w:rPr>
        <w:t xml:space="preserve"> </w:t>
      </w:r>
      <w:r w:rsidRPr="00530B5F">
        <w:rPr>
          <w:rFonts w:ascii="Times New Roman" w:eastAsia="Times New Roman" w:hAnsi="Times New Roman" w:cs="Times New Roman"/>
          <w:w w:val="110"/>
          <w:sz w:val="24"/>
          <w:szCs w:val="24"/>
        </w:rPr>
        <w:t>rare</w:t>
      </w:r>
      <w:r w:rsidRPr="00530B5F">
        <w:rPr>
          <w:rFonts w:ascii="Times New Roman" w:eastAsia="Times New Roman" w:hAnsi="Times New Roman" w:cs="Times New Roman"/>
          <w:spacing w:val="-15"/>
          <w:w w:val="110"/>
          <w:sz w:val="24"/>
          <w:szCs w:val="24"/>
        </w:rPr>
        <w:t xml:space="preserve"> </w:t>
      </w:r>
      <w:r w:rsidRPr="00530B5F">
        <w:rPr>
          <w:rFonts w:ascii="Times New Roman" w:eastAsia="Times New Roman" w:hAnsi="Times New Roman" w:cs="Times New Roman"/>
          <w:w w:val="110"/>
          <w:sz w:val="24"/>
          <w:szCs w:val="24"/>
        </w:rPr>
        <w:t xml:space="preserve">pathogenic mutations of </w:t>
      </w:r>
      <w:r w:rsidRPr="00530B5F">
        <w:rPr>
          <w:rFonts w:ascii="Times New Roman" w:eastAsia="Times New Roman" w:hAnsi="Times New Roman" w:cs="Times New Roman"/>
          <w:i/>
          <w:w w:val="110"/>
          <w:sz w:val="24"/>
          <w:szCs w:val="24"/>
        </w:rPr>
        <w:t xml:space="preserve">CARD14 </w:t>
      </w:r>
      <w:r w:rsidRPr="00530B5F">
        <w:rPr>
          <w:rFonts w:ascii="Times New Roman" w:eastAsia="Times New Roman" w:hAnsi="Times New Roman" w:cs="Times New Roman"/>
          <w:w w:val="110"/>
          <w:sz w:val="24"/>
          <w:szCs w:val="24"/>
        </w:rPr>
        <w:t xml:space="preserve">in </w:t>
      </w:r>
      <w:r w:rsidR="00274267">
        <w:rPr>
          <w:rFonts w:ascii="Times New Roman" w:eastAsia="Times New Roman" w:hAnsi="Times New Roman" w:cs="Times New Roman"/>
          <w:spacing w:val="-8"/>
          <w:w w:val="110"/>
          <w:sz w:val="24"/>
          <w:szCs w:val="24"/>
        </w:rPr>
        <w:t>keratinocyte</w:t>
      </w:r>
      <w:r w:rsidRPr="00530B5F">
        <w:rPr>
          <w:rFonts w:ascii="Times New Roman" w:eastAsia="Times New Roman" w:hAnsi="Times New Roman" w:cs="Times New Roman"/>
          <w:spacing w:val="-8"/>
          <w:w w:val="110"/>
          <w:sz w:val="24"/>
          <w:szCs w:val="24"/>
        </w:rPr>
        <w:t xml:space="preserve"> </w:t>
      </w:r>
      <w:r w:rsidRPr="00530B5F">
        <w:rPr>
          <w:rFonts w:ascii="Times New Roman" w:eastAsia="Times New Roman" w:hAnsi="Times New Roman" w:cs="Times New Roman"/>
          <w:w w:val="110"/>
          <w:sz w:val="24"/>
          <w:szCs w:val="24"/>
        </w:rPr>
        <w:t>cell lines lead</w:t>
      </w:r>
      <w:r w:rsidR="00EA4AB3">
        <w:rPr>
          <w:rFonts w:ascii="Times New Roman" w:eastAsia="Times New Roman" w:hAnsi="Times New Roman" w:cs="Times New Roman"/>
          <w:w w:val="110"/>
          <w:sz w:val="24"/>
          <w:szCs w:val="24"/>
        </w:rPr>
        <w:t>k</w:t>
      </w:r>
      <w:r w:rsidRPr="00530B5F">
        <w:rPr>
          <w:rFonts w:ascii="Times New Roman" w:eastAsia="Times New Roman" w:hAnsi="Times New Roman" w:cs="Times New Roman"/>
          <w:w w:val="110"/>
          <w:sz w:val="24"/>
          <w:szCs w:val="24"/>
        </w:rPr>
        <w:t xml:space="preserve"> to increased activation of NF-kB as well as overexpression of psoriasis-associated genes including </w:t>
      </w:r>
      <w:r w:rsidRPr="00530B5F">
        <w:rPr>
          <w:rFonts w:ascii="Times New Roman" w:eastAsia="Times New Roman" w:hAnsi="Times New Roman" w:cs="Times New Roman"/>
          <w:i/>
          <w:w w:val="110"/>
          <w:sz w:val="24"/>
          <w:szCs w:val="24"/>
        </w:rPr>
        <w:t>IL6</w:t>
      </w:r>
      <w:r w:rsidRPr="00530B5F">
        <w:rPr>
          <w:rFonts w:ascii="Times New Roman" w:eastAsia="Times New Roman" w:hAnsi="Times New Roman" w:cs="Times New Roman"/>
          <w:w w:val="110"/>
          <w:sz w:val="24"/>
          <w:szCs w:val="24"/>
        </w:rPr>
        <w:t xml:space="preserve">, </w:t>
      </w:r>
      <w:r w:rsidRPr="00530B5F">
        <w:rPr>
          <w:rFonts w:ascii="Times New Roman" w:eastAsia="Times New Roman" w:hAnsi="Times New Roman" w:cs="Times New Roman"/>
          <w:i/>
          <w:spacing w:val="-5"/>
          <w:w w:val="110"/>
          <w:sz w:val="24"/>
          <w:szCs w:val="24"/>
        </w:rPr>
        <w:t xml:space="preserve">TNFA </w:t>
      </w:r>
      <w:r w:rsidRPr="00530B5F">
        <w:rPr>
          <w:rFonts w:ascii="Times New Roman" w:eastAsia="Times New Roman" w:hAnsi="Times New Roman" w:cs="Times New Roman"/>
          <w:w w:val="110"/>
          <w:sz w:val="24"/>
          <w:szCs w:val="24"/>
        </w:rPr>
        <w:t xml:space="preserve">and </w:t>
      </w:r>
      <w:r w:rsidRPr="00530B5F">
        <w:rPr>
          <w:rFonts w:ascii="Times New Roman" w:eastAsia="Times New Roman" w:hAnsi="Times New Roman" w:cs="Times New Roman"/>
          <w:i/>
          <w:spacing w:val="-3"/>
          <w:w w:val="110"/>
          <w:sz w:val="24"/>
          <w:szCs w:val="24"/>
        </w:rPr>
        <w:t>TNFAIP2</w:t>
      </w:r>
      <w:r w:rsidRPr="00530B5F">
        <w:rPr>
          <w:rFonts w:ascii="Times New Roman" w:eastAsia="Times New Roman" w:hAnsi="Times New Roman" w:cs="Times New Roman"/>
          <w:spacing w:val="-3"/>
          <w:w w:val="110"/>
          <w:sz w:val="24"/>
          <w:szCs w:val="24"/>
        </w:rPr>
        <w:t xml:space="preserve">, </w:t>
      </w:r>
      <w:r w:rsidRPr="00530B5F">
        <w:rPr>
          <w:rFonts w:ascii="Times New Roman" w:eastAsia="Times New Roman" w:hAnsi="Times New Roman" w:cs="Times New Roman"/>
          <w:w w:val="110"/>
          <w:sz w:val="24"/>
          <w:szCs w:val="24"/>
        </w:rPr>
        <w:t>among others (Jordan et al.</w:t>
      </w:r>
      <w:r w:rsidRPr="00530B5F">
        <w:rPr>
          <w:rFonts w:ascii="Times New Roman" w:eastAsia="Times New Roman" w:hAnsi="Times New Roman" w:cs="Times New Roman"/>
          <w:spacing w:val="-37"/>
          <w:w w:val="110"/>
          <w:sz w:val="24"/>
          <w:szCs w:val="24"/>
        </w:rPr>
        <w:t xml:space="preserve"> </w:t>
      </w:r>
      <w:r w:rsidRPr="00530B5F">
        <w:rPr>
          <w:rFonts w:ascii="Times New Roman" w:eastAsia="Times New Roman" w:hAnsi="Times New Roman" w:cs="Times New Roman"/>
          <w:w w:val="110"/>
          <w:sz w:val="24"/>
          <w:szCs w:val="24"/>
        </w:rPr>
        <w:t>2012b).</w:t>
      </w:r>
      <w:commentRangeEnd w:id="0"/>
      <w:r w:rsidRPr="00530B5F">
        <w:rPr>
          <w:rFonts w:ascii="Times New Roman" w:eastAsia="Times New Roman" w:hAnsi="Times New Roman" w:cs="Times New Roman"/>
          <w:sz w:val="16"/>
          <w:szCs w:val="16"/>
        </w:rPr>
        <w:commentReference w:id="0"/>
      </w:r>
    </w:p>
    <w:p w14:paraId="449DD8EA" w14:textId="60AA3418" w:rsidR="00D7195B" w:rsidRDefault="00D7195B" w:rsidP="00BB6C4C"/>
    <w:p w14:paraId="7C9D714E" w14:textId="3F10AF74" w:rsidR="00460C45" w:rsidRDefault="00460C45" w:rsidP="00BB6C4C"/>
    <w:p w14:paraId="50083ED9" w14:textId="4ECA9620" w:rsidR="004A6354" w:rsidRDefault="00460C45" w:rsidP="00020C96">
      <w:r w:rsidRPr="00460C45">
        <w:t xml:space="preserve">Tervaniemi </w:t>
      </w:r>
      <w:r w:rsidR="001574BD">
        <w:t>study showed a total of</w:t>
      </w:r>
      <w:r w:rsidRPr="00460C45">
        <w:t xml:space="preserve"> 2,589 DEGs (</w:t>
      </w:r>
      <w:r w:rsidR="001574BD">
        <w:t xml:space="preserve">filtering criteria </w:t>
      </w:r>
      <w:r w:rsidRPr="00460C45">
        <w:t>fold change$&lt;$0.75 or fo</w:t>
      </w:r>
      <w:r w:rsidR="00AF7A23">
        <w:t>ld change$&gt;$1.5 and FDR$&lt;$0.05)</w:t>
      </w:r>
      <w:r w:rsidR="00006E9E">
        <w:t>, a larger number of differentially expressed genes t</w:t>
      </w:r>
      <w:r w:rsidR="004A6354">
        <w:t>han the identified in my study., reporting</w:t>
      </w:r>
      <w:r w:rsidR="001574BD">
        <w:t xml:space="preserve"> a larger number of up-regulated than down-regulated hits </w:t>
      </w:r>
      <w:r w:rsidR="004A6354">
        <w:t>(</w:t>
      </w:r>
      <w:r w:rsidR="001020A7" w:rsidRPr="00460C45">
        <w:t>Figure \ref{figure:Skin_venn_diagrams_comparison_other_studies} bottom panel).</w:t>
      </w:r>
      <w:r w:rsidR="004A6354">
        <w:t xml:space="preserve">  A</w:t>
      </w:r>
      <w:r w:rsidR="004A6354" w:rsidRPr="00460C45">
        <w:t xml:space="preserve"> total of 359 out of the 1,227 DEGs (29.25\%) identified by the in-house study were shared with the Tervaniemi results, of which 239 and 75 were up- and down-regulated, respectively</w:t>
      </w:r>
      <w:r w:rsidR="00D61F55">
        <w:t xml:space="preserve"> (</w:t>
      </w:r>
      <w:r w:rsidR="00D61F55" w:rsidRPr="00460C45">
        <w:t>Figure \ref{figure:Skin_venn_diagrams_comparison_other_studies} bottom panel)</w:t>
      </w:r>
      <w:r w:rsidR="004A6354" w:rsidRPr="00460C45">
        <w:t>.</w:t>
      </w:r>
      <w:r w:rsidR="00D61F55">
        <w:t xml:space="preserve"> Some examples of this overlap included</w:t>
      </w:r>
      <w:r w:rsidR="00020C96">
        <w:t xml:space="preserve"> up-regulation of </w:t>
      </w:r>
      <w:r w:rsidR="00020C96" w:rsidRPr="00460C45">
        <w:t>\textit{STAT1}, genes from the \textit{S100} family (e.g \textit{S100A9} and \textit{S100A12}) and genes nearby psoriasis GWAS loci such as \textit{STAT3} and \textit{IFIH1}.</w:t>
      </w:r>
      <w:r w:rsidR="003F1577">
        <w:t xml:space="preserve"> Notably, 45 genes were differentially expressed in both studies </w:t>
      </w:r>
      <w:r w:rsidR="00743823">
        <w:t>but showed</w:t>
      </w:r>
      <w:r w:rsidR="003F1577">
        <w:t xml:space="preserve"> opposite direction</w:t>
      </w:r>
      <w:r w:rsidR="0064675C">
        <w:t xml:space="preserve">. For example </w:t>
      </w:r>
      <w:r w:rsidR="0064675C" w:rsidRPr="00460C45">
        <w:t xml:space="preserve">\textit{SERPINB2} </w:t>
      </w:r>
      <w:r w:rsidR="0064675C">
        <w:t>was</w:t>
      </w:r>
      <w:r w:rsidR="00743823">
        <w:t xml:space="preserve"> </w:t>
      </w:r>
      <w:r w:rsidR="0064675C" w:rsidRPr="00460C45">
        <w:t>down-regulat</w:t>
      </w:r>
      <w:r w:rsidR="0064675C">
        <w:t>ed</w:t>
      </w:r>
      <w:r w:rsidR="0064675C" w:rsidRPr="00460C45">
        <w:t xml:space="preserve"> in the in-house data and up-regulat</w:t>
      </w:r>
      <w:r w:rsidR="0064675C">
        <w:t>ed</w:t>
      </w:r>
      <w:r w:rsidR="0064675C" w:rsidRPr="00460C45">
        <w:t xml:space="preserve"> in the Tervaniemi results</w:t>
      </w:r>
      <w:r w:rsidR="0064675C">
        <w:t>.</w:t>
      </w:r>
      <w:r w:rsidR="003F1577">
        <w:t xml:space="preserve"> </w:t>
      </w:r>
    </w:p>
    <w:p w14:paraId="2AABEFBA" w14:textId="77777777" w:rsidR="001020A7" w:rsidRDefault="001020A7" w:rsidP="00460C45"/>
    <w:p w14:paraId="7E27C130" w14:textId="0920558D" w:rsidR="00460C45" w:rsidRDefault="00460C45" w:rsidP="00460C45"/>
    <w:p w14:paraId="387EBC4B" w14:textId="710A5A51" w:rsidR="006F1101" w:rsidRDefault="006F1101" w:rsidP="00460C45"/>
    <w:p w14:paraId="3537C3CC" w14:textId="375F3204" w:rsidR="006F1101" w:rsidRDefault="006F1101" w:rsidP="00460C45"/>
    <w:p w14:paraId="5A0E932D" w14:textId="7C310960" w:rsidR="006F1101" w:rsidRDefault="006F1101" w:rsidP="00460C45"/>
    <w:p w14:paraId="47610869" w14:textId="77777777" w:rsidR="006F1101" w:rsidRDefault="006F1101" w:rsidP="006F1101">
      <w:r>
        <w:t>\subsubsection{Tissue and disease specificity in gene expression modulation and relevant biological pathways}</w:t>
      </w:r>
    </w:p>
    <w:p w14:paraId="708C8A45" w14:textId="77777777" w:rsidR="006F1101" w:rsidRDefault="006F1101" w:rsidP="006F1101"/>
    <w:p w14:paraId="2D3BB3DC" w14:textId="06F71B99" w:rsidR="006F1101" w:rsidRDefault="00781735" w:rsidP="003D4125">
      <w:r>
        <w:t>Gene expression in peripheral blood of 3 healthy controls was compared to</w:t>
      </w:r>
      <w:r w:rsidR="0078465C">
        <w:t xml:space="preserve"> peripheral blood of the 3 PsA patients in CD14$^+$ monocytes, mCD4$^+$ and mCD8$^+$ cells. </w:t>
      </w:r>
      <w:r w:rsidR="00E04D49">
        <w:t>T</w:t>
      </w:r>
      <w:r w:rsidR="0078465C">
        <w:t>he fold change was calculated for the mean peripheral blood expression across the 3 PsA patients compared to the mean expression of the 3 healthy controls (as detailed in Chapter \ref{ch:Mat}).</w:t>
      </w:r>
      <w:r w:rsidR="00E04D49">
        <w:t xml:space="preserve"> P-values for the significance of the change were also calculated for each particular gene.</w:t>
      </w:r>
      <w:r w:rsidR="00C4433A">
        <w:t xml:space="preserve"> </w:t>
      </w:r>
      <w:r w:rsidR="006F1101">
        <w:t xml:space="preserve">Integration of the </w:t>
      </w:r>
      <w:r w:rsidR="00E020DA">
        <w:t>differentially expressed genes</w:t>
      </w:r>
      <w:r w:rsidR="006F1101">
        <w:t xml:space="preserve"> between synovial fluid and peripheral blood in PsA </w:t>
      </w:r>
      <w:r w:rsidR="00E020DA">
        <w:t>and the modulated genes in peripheral blood between PsA and healthy controls</w:t>
      </w:r>
      <w:r w:rsidR="00A81038">
        <w:t xml:space="preserve"> </w:t>
      </w:r>
      <w:r w:rsidR="006F1101">
        <w:t xml:space="preserve"> allowed the identification of </w:t>
      </w:r>
      <w:r w:rsidR="00A81038">
        <w:t>3</w:t>
      </w:r>
      <w:r w:rsidR="006F1101">
        <w:t xml:space="preserve"> group of genes (Figure \ref{figure:PSA_PCR_array_HC_FC_correlation}). First, the genes only significantly modulated (based on p-value and fold change threshold criteria) in peripheral blood between controls and PsA were designated as systemic genes (Figure \ref{figure:PSA_PCR_array_HC_FC_correlation} green dots). Those genes were not significantly modulated </w:t>
      </w:r>
      <w:r w:rsidR="007E24DE">
        <w:t>between</w:t>
      </w:r>
      <w:r w:rsidR="006F1101">
        <w:t xml:space="preserve"> synovial fluid </w:t>
      </w:r>
      <w:r w:rsidR="007E24DE">
        <w:t>and</w:t>
      </w:r>
      <w:r w:rsidR="006F1101">
        <w:t xml:space="preserve"> peripheral blood </w:t>
      </w:r>
      <w:r w:rsidR="007E24DE">
        <w:t>in</w:t>
      </w:r>
      <w:r w:rsidR="006F1101">
        <w:t xml:space="preserve"> PsA patients and could then be considered as the circulating disease "footprint". </w:t>
      </w:r>
      <w:r w:rsidR="00B15EAC">
        <w:t xml:space="preserve"> For example</w:t>
      </w:r>
      <w:r w:rsidR="00C40BC0">
        <w:t>\</w:t>
      </w:r>
      <w:r w:rsidR="00B15EAC">
        <w:t xml:space="preserve"> textit{CCL24} and \textit{CCL27} in CD14$^+$ monocytes.  </w:t>
      </w:r>
      <w:r w:rsidR="006F1101">
        <w:t>A second group of genes were designated as tissue-specific, since they were significantly modulated between synovial fluid and peripheral blood in PsA patients but did not show significant changes between controls and PsA at the circulating level (Figure \ref{figure:PSA_PCR_array_HC_FC_correlation} red dots)</w:t>
      </w:r>
      <w:r w:rsidR="00B15EAC">
        <w:t>.</w:t>
      </w:r>
      <w:r w:rsidR="006F1101">
        <w:t xml:space="preserve"> </w:t>
      </w:r>
      <w:r w:rsidR="00EA398B">
        <w:t>This group included \textit{SPP1} and \textit{FN1}  in the</w:t>
      </w:r>
      <w:r w:rsidR="006B0C26">
        <w:t xml:space="preserve"> 3 cell types, the two genes presenting the greatest fold change between synovial fluid and peripheral blood </w:t>
      </w:r>
      <w:r w:rsidR="00E76AC3">
        <w:t>with no</w:t>
      </w:r>
      <w:r w:rsidR="006B0C26">
        <w:t xml:space="preserve"> significant changes in peripheral blood between PsA and healthy controls </w:t>
      </w:r>
      <w:r w:rsidR="00E76AC3">
        <w:t xml:space="preserve">. </w:t>
      </w:r>
      <w:r w:rsidR="006F1101">
        <w:t xml:space="preserve">The third category comprised genes significantly modulated for each cell type between controls and PsA patients in peripheral blood as well as between synovial fluid and peripheral blood in PsA patients. These genes </w:t>
      </w:r>
      <w:r w:rsidR="00805C6F">
        <w:t xml:space="preserve">were </w:t>
      </w:r>
      <w:r w:rsidR="006F1101">
        <w:t xml:space="preserve">defined as putative disease-specific genes (Figure \ref{figure:PSA_PCR_array_HC_FC_correlation} blue </w:t>
      </w:r>
      <w:r w:rsidR="003D4125">
        <w:t>dots</w:t>
      </w:r>
      <w:r w:rsidR="00E76AC3">
        <w:t>)</w:t>
      </w:r>
      <w:r w:rsidR="00805C6F">
        <w:t xml:space="preserve">. For example, </w:t>
      </w:r>
      <w:r w:rsidR="00E76AC3">
        <w:t xml:space="preserve"> \textit{GPR68} in </w:t>
      </w:r>
      <w:r w:rsidR="00805C6F">
        <w:t>mCD4$^+$ cells was</w:t>
      </w:r>
      <w:r w:rsidR="006F1101">
        <w:t xml:space="preserve"> up-regulated in PsA peripheral blood mCD4$^+$ when compared to the control counterparts and further up-regulated in synovial fluid when compared to peripheral blood in PsA individuals (Figure \ref{figure:PSA_PCR_array_HC_FC_correlation} </w:t>
      </w:r>
      <w:r w:rsidR="00CE2C93">
        <w:t>B</w:t>
      </w:r>
      <w:r w:rsidR="006F1101">
        <w:t xml:space="preserve">). </w:t>
      </w:r>
    </w:p>
    <w:p w14:paraId="30D9675F" w14:textId="77777777" w:rsidR="00C4433A" w:rsidRDefault="00C4433A" w:rsidP="006F1101"/>
    <w:p w14:paraId="2AD02F73" w14:textId="77777777" w:rsidR="00C4433A" w:rsidRDefault="00C4433A" w:rsidP="006F1101"/>
    <w:p w14:paraId="4D1BA9C9" w14:textId="77777777" w:rsidR="00C4433A" w:rsidRDefault="00C4433A" w:rsidP="006F1101"/>
    <w:p w14:paraId="697DE26D" w14:textId="77777777" w:rsidR="00C4433A" w:rsidRDefault="00C4433A" w:rsidP="006F1101"/>
    <w:p w14:paraId="2E9B1A3F" w14:textId="77777777" w:rsidR="00C4433A" w:rsidRDefault="00C4433A" w:rsidP="006F1101"/>
    <w:p w14:paraId="49FF378C" w14:textId="1D645EF2" w:rsidR="006F1101" w:rsidRDefault="00CE2C93" w:rsidP="006F1101">
      <w:r>
        <w:t>P</w:t>
      </w:r>
      <w:r w:rsidR="006F1101">
        <w:t xml:space="preserve">athway enrichment analysis using the significantly modulated genes between </w:t>
      </w:r>
      <w:r>
        <w:t xml:space="preserve">peripheral blood of </w:t>
      </w:r>
      <w:r w:rsidR="006F1101">
        <w:t xml:space="preserve">healthy controls and PsA patients, only the Reactome immune system pathway appeared as significant for CD14$^+$ monocytes and mCD4$^+$ cells. This result reinforced the tissue-specificity of the pathways enriched for the modulated genes between synovial fluid and peripheral blood in CD14$^+$ </w:t>
      </w:r>
      <w:r w:rsidR="006F1101">
        <w:lastRenderedPageBreak/>
        <w:t xml:space="preserve">monocytes PsA patients and clearly suggest a more pronounced inflammatory phenotype of the pathological CD14$^+$ monocytes in synovial fluid compared to </w:t>
      </w:r>
      <w:r w:rsidR="00C4433A">
        <w:t>peripheral blood</w:t>
      </w:r>
      <w:r w:rsidR="006F1101">
        <w:t>.</w:t>
      </w:r>
    </w:p>
    <w:p w14:paraId="5FA012DB" w14:textId="5A1A307F" w:rsidR="006F1101" w:rsidRDefault="006F1101" w:rsidP="00460C45"/>
    <w:p w14:paraId="39C362E9" w14:textId="4292A37A" w:rsidR="0005317D" w:rsidRDefault="004352D6" w:rsidP="00460C45">
      <w:r>
        <w:t>*****************************************************************************</w:t>
      </w:r>
    </w:p>
    <w:p w14:paraId="4B1CC3AA" w14:textId="298B3C95" w:rsidR="0005317D" w:rsidRDefault="0005317D" w:rsidP="00460C45"/>
    <w:p w14:paraId="0B6EEE62" w14:textId="110867DB" w:rsidR="00E60401" w:rsidRDefault="00270F82" w:rsidP="00270F82">
      <w:r w:rsidRPr="00270F82">
        <w:t>The pilot study presented in this chapter has characterised the expression of relevant immune genes in CD14$^+$ monocytes, mCD4$^+$ and mCD8$^+$ cells isolated from syno</w:t>
      </w:r>
      <w:r w:rsidR="001E6B4B">
        <w:t xml:space="preserve">vial fluid and peripheral blood. </w:t>
      </w:r>
      <w:r w:rsidRPr="00270F82">
        <w:t>In this study, CD14$^+$ monocytes and mCD8$^+$ presented the</w:t>
      </w:r>
      <w:r w:rsidR="00173630">
        <w:t xml:space="preserve"> largest number of statistically significant </w:t>
      </w:r>
      <w:r w:rsidR="001A716D">
        <w:t>DEGs</w:t>
      </w:r>
      <w:r w:rsidRPr="00270F82">
        <w:t xml:space="preserve"> between synovial fluid and peripheral blood. </w:t>
      </w:r>
      <w:r w:rsidR="002509EF">
        <w:t>I</w:t>
      </w:r>
      <w:r w:rsidR="002509EF" w:rsidRPr="004352D6">
        <w:t>ntegration of transcriptome profiling with paired-ATAC data in CD14$^+$ monocytes, mCD4$^+$ and mCD8$^+$ revealed that</w:t>
      </w:r>
      <w:r w:rsidR="002509EF">
        <w:t xml:space="preserve"> a small number of the</w:t>
      </w:r>
      <w:r w:rsidR="002509EF" w:rsidRPr="004352D6">
        <w:t xml:space="preserve"> </w:t>
      </w:r>
      <w:r w:rsidR="002509EF">
        <w:t>DEGs between</w:t>
      </w:r>
      <w:r w:rsidR="002509EF" w:rsidRPr="004352D6">
        <w:t xml:space="preserve"> synovial fluid and peripheral blood </w:t>
      </w:r>
      <w:r w:rsidR="002509EF">
        <w:t>were</w:t>
      </w:r>
      <w:r w:rsidR="002509EF" w:rsidRPr="004352D6">
        <w:t xml:space="preserve"> nearby DARs showing</w:t>
      </w:r>
      <w:r w:rsidR="00016E6E">
        <w:t xml:space="preserve"> changes in the same direction. This overlap </w:t>
      </w:r>
      <w:r w:rsidR="00770D6E">
        <w:t>only presented significant enrichment</w:t>
      </w:r>
      <w:r w:rsidR="00016E6E">
        <w:t xml:space="preserve"> for CD14$^+$ monocytes.  </w:t>
      </w:r>
    </w:p>
    <w:p w14:paraId="2606D4FE" w14:textId="6DD22F63" w:rsidR="00482591" w:rsidRDefault="00482591" w:rsidP="00482591">
      <w:r>
        <w:t>Pro-inflammatory genes, including</w:t>
      </w:r>
      <w:r w:rsidRPr="00270F82">
        <w:t xml:space="preserve"> \textit{TNFA}, \t</w:t>
      </w:r>
      <w:r>
        <w:t xml:space="preserve">extit{CXCL13} or \textit{CCL18}, previously reported by Dolcino and colleagues as </w:t>
      </w:r>
      <w:r w:rsidRPr="00270F82">
        <w:t xml:space="preserve">DEGs </w:t>
      </w:r>
      <w:r>
        <w:t>between synovial membranes and peripheral blood from PsA patients \parencite{Dolcino2015}</w:t>
      </w:r>
      <w:r w:rsidRPr="00270F82">
        <w:t xml:space="preserve">, were found to be </w:t>
      </w:r>
      <w:r>
        <w:t xml:space="preserve">up-regulated in </w:t>
      </w:r>
      <w:r w:rsidRPr="00270F82">
        <w:t xml:space="preserve">synovial fluid </w:t>
      </w:r>
      <w:r>
        <w:t xml:space="preserve">compared to </w:t>
      </w:r>
      <w:r w:rsidRPr="00270F82">
        <w:t xml:space="preserve">peripheral blood in at least one of the cell types. </w:t>
      </w:r>
      <w:r w:rsidR="00A62625">
        <w:t>Other genes were only found to be differentially expressed between synovial fluid and peripheral blood in CD14$^+$ monocytes, for example \textit{CXCL10},</w:t>
      </w:r>
      <w:r w:rsidR="00CA2A76">
        <w:t xml:space="preserve"> \textit{CCL7}, and \textit{CCL17},</w:t>
      </w:r>
      <w:r w:rsidR="00BB27C9">
        <w:t xml:space="preserve"> </w:t>
      </w:r>
      <w:r w:rsidR="00583C62">
        <w:t>which play a critical role in the</w:t>
      </w:r>
      <w:r w:rsidR="00BB27C9">
        <w:t xml:space="preserve"> migration of monocytes from bone marrow to tissues \parencite{</w:t>
      </w:r>
      <w:r w:rsidR="00583C62">
        <w:t>Tsou2007</w:t>
      </w:r>
      <w:r w:rsidR="00BB27C9">
        <w:t>}</w:t>
      </w:r>
      <w:r w:rsidR="008C2D70">
        <w:t>.</w:t>
      </w:r>
      <w:r w:rsidR="00BF7B74">
        <w:t xml:space="preserve"> Other genes </w:t>
      </w:r>
      <w:r w:rsidR="00A62625">
        <w:t xml:space="preserve">involved in Th-17 cell response, such as </w:t>
      </w:r>
      <w:r w:rsidR="00A62625" w:rsidRPr="00270F82">
        <w:t>\textit{CXCL13} and \textit{IL26}\parencite{Takagi2008}</w:t>
      </w:r>
      <w:r w:rsidR="00A62625">
        <w:t xml:space="preserve"> only showed up-regulation</w:t>
      </w:r>
      <w:r w:rsidR="00A62625" w:rsidRPr="00270F82">
        <w:t xml:space="preserve"> in synovial fluid mCD4$^+$ and/or mCD8$^+$ when compared to peripheral blood</w:t>
      </w:r>
      <w:r w:rsidR="00A62625">
        <w:t>, no changing expression in CD14$^+$ monocytes</w:t>
      </w:r>
    </w:p>
    <w:p w14:paraId="38B4607B" w14:textId="1C2FC8F5" w:rsidR="00AC570D" w:rsidRDefault="003B6018" w:rsidP="008A60CB">
      <w:r>
        <w:t>Comparison of</w:t>
      </w:r>
      <w:r w:rsidR="00FF15F1">
        <w:t xml:space="preserve"> </w:t>
      </w:r>
      <w:r w:rsidR="00E67E99">
        <w:t xml:space="preserve">DEGs in </w:t>
      </w:r>
      <w:r w:rsidR="00FF15F1">
        <w:t xml:space="preserve">peripheral blood between PsA patients and controls with the </w:t>
      </w:r>
      <w:r w:rsidR="00E67E99">
        <w:t xml:space="preserve">DEGs </w:t>
      </w:r>
      <w:r w:rsidR="002161D3">
        <w:t>between</w:t>
      </w:r>
      <w:r w:rsidR="00E67E99">
        <w:t xml:space="preserve"> synovial fluid </w:t>
      </w:r>
      <w:r w:rsidR="002161D3">
        <w:t>and</w:t>
      </w:r>
      <w:r w:rsidR="00E67E99">
        <w:t xml:space="preserve"> peripheral blood in patients </w:t>
      </w:r>
      <w:r w:rsidR="00482591">
        <w:t>identified</w:t>
      </w:r>
      <w:r w:rsidR="00FF15F1">
        <w:t xml:space="preserve"> </w:t>
      </w:r>
      <w:r w:rsidR="00BF7B74">
        <w:t xml:space="preserve">a number of </w:t>
      </w:r>
      <w:r w:rsidR="00FF15F1">
        <w:t xml:space="preserve">systemic, tissue-specific and putative-disease specific </w:t>
      </w:r>
      <w:r w:rsidR="001A716D">
        <w:t>DEGs</w:t>
      </w:r>
      <w:r w:rsidR="009A1296">
        <w:t>, all</w:t>
      </w:r>
      <w:r w:rsidR="00BD595A">
        <w:t xml:space="preserve"> based on the</w:t>
      </w:r>
      <w:r w:rsidR="008A2C03">
        <w:t xml:space="preserve"> significance of the changes in gene expression found in this data</w:t>
      </w:r>
      <w:r w:rsidR="00FF15F1">
        <w:t xml:space="preserve">. </w:t>
      </w:r>
      <w:r w:rsidR="009A1296">
        <w:t>In</w:t>
      </w:r>
      <w:r w:rsidR="00DD62B4">
        <w:t xml:space="preserve"> CD14$^+$ monocytes</w:t>
      </w:r>
      <w:r w:rsidR="00AF0F6C">
        <w:t>,</w:t>
      </w:r>
      <w:r w:rsidR="00DD62B4">
        <w:t xml:space="preserve"> a much larger number of immune-relevant genes </w:t>
      </w:r>
      <w:r w:rsidR="00F347D5">
        <w:t xml:space="preserve">were found to be differentially expressed between </w:t>
      </w:r>
      <w:r w:rsidR="009A1296">
        <w:t>the two tissues of patients</w:t>
      </w:r>
      <w:r w:rsidR="00F347D5">
        <w:t xml:space="preserve"> </w:t>
      </w:r>
      <w:r w:rsidR="0051568B">
        <w:t xml:space="preserve">when compared to those changing expression </w:t>
      </w:r>
      <w:r w:rsidR="00F347D5">
        <w:t xml:space="preserve">between PsA patients and healthy </w:t>
      </w:r>
      <w:r w:rsidR="002161D3">
        <w:t>controls</w:t>
      </w:r>
      <w:r w:rsidR="00EA3F99" w:rsidRPr="00EA3F99">
        <w:t xml:space="preserve"> </w:t>
      </w:r>
      <w:r w:rsidR="00EA3F99">
        <w:t>in peripheral blood</w:t>
      </w:r>
      <w:r w:rsidR="00AF0F6C">
        <w:t>.</w:t>
      </w:r>
      <w:r w:rsidR="00F347D5">
        <w:t xml:space="preserve"> </w:t>
      </w:r>
      <w:r w:rsidR="00FF15F1">
        <w:t xml:space="preserve">This is likely due to the highly inflammatory environment in the synovium of PsA patients as well as to the plasticity of monocytes and their </w:t>
      </w:r>
      <w:r w:rsidR="0051568B">
        <w:t xml:space="preserve">transition </w:t>
      </w:r>
      <w:r w:rsidR="00FF15F1">
        <w:t>int</w:t>
      </w:r>
      <w:r w:rsidR="0051568B">
        <w:t>o macrophage differentiation</w:t>
      </w:r>
      <w:r w:rsidR="00FF15F1">
        <w:t xml:space="preserve"> </w:t>
      </w:r>
      <w:r w:rsidR="0051568B">
        <w:t>at the site of inflammation</w:t>
      </w:r>
      <w:r w:rsidR="00FF15F1">
        <w:t xml:space="preserve"> \parencite{Yoon2014, Park2016}.</w:t>
      </w:r>
      <w:r w:rsidR="00FC085D">
        <w:t xml:space="preserve"> </w:t>
      </w:r>
      <w:r w:rsidR="00CE0245">
        <w:t>A</w:t>
      </w:r>
      <w:r w:rsidR="00F14CFF">
        <w:t xml:space="preserve"> particularly interesting systemic DEG </w:t>
      </w:r>
      <w:r w:rsidR="00CE0245">
        <w:t xml:space="preserve">in mCD8$^+$ cells </w:t>
      </w:r>
      <w:r w:rsidR="00F14CFF">
        <w:t xml:space="preserve">was </w:t>
      </w:r>
      <w:r w:rsidR="00AC570D">
        <w:t xml:space="preserve">\textit{CCR10}, a chemokine receptor co-expressed by a subset of memory cells that preferentially migrate to skin, which has also been identified as an up-regulated gene in CD8$^+$ cells in the psoriasis cohort when compared to healthy controls (Chapter \ref{ch:Results2} and in patients with atopic dermatitis \parencite{Hijnen2005}. </w:t>
      </w:r>
      <w:r w:rsidR="00F14CFF">
        <w:t>In mCD4$^+$</w:t>
      </w:r>
      <w:r w:rsidR="00A855BB">
        <w:t>, \textit{GPR68}</w:t>
      </w:r>
      <w:r w:rsidR="0029287A">
        <w:t>,</w:t>
      </w:r>
      <w:r w:rsidR="0029287A" w:rsidRPr="0029287A">
        <w:t xml:space="preserve"> </w:t>
      </w:r>
      <w:r w:rsidR="004E43B7">
        <w:t xml:space="preserve">a G protein-coupled receptor (GPCR) </w:t>
      </w:r>
      <w:r w:rsidR="00A855BB">
        <w:t xml:space="preserve">was found to be a putative disease-specific gene </w:t>
      </w:r>
      <w:r w:rsidR="00AC570D">
        <w:t xml:space="preserve">up-regulated in </w:t>
      </w:r>
      <w:r w:rsidR="00275390">
        <w:t>peripheral blood of PsA patients when compared to c</w:t>
      </w:r>
      <w:r w:rsidR="00AC570D">
        <w:t xml:space="preserve">ontrols </w:t>
      </w:r>
      <w:r w:rsidR="00275390">
        <w:t xml:space="preserve">and </w:t>
      </w:r>
      <w:r w:rsidR="00003634">
        <w:t>further increasing its expression in synovial fluid</w:t>
      </w:r>
      <w:r w:rsidR="00AC570D">
        <w:t>.</w:t>
      </w:r>
      <w:r w:rsidR="00F64583" w:rsidRPr="00F64583">
        <w:t xml:space="preserve"> </w:t>
      </w:r>
      <w:r w:rsidR="00F64583">
        <w:t>\textit{GPR68} undergoes activation through pH acidification,</w:t>
      </w:r>
      <w:r w:rsidR="004E43B7">
        <w:t xml:space="preserve"> which is a</w:t>
      </w:r>
      <w:r w:rsidR="00F64583">
        <w:t xml:space="preserve"> characteristic </w:t>
      </w:r>
      <w:r w:rsidR="004E43B7">
        <w:t>feature of</w:t>
      </w:r>
      <w:r w:rsidR="00F64583">
        <w:t xml:space="preserve"> synovial tissues under inflammation \parencite{Biniecka2016,</w:t>
      </w:r>
      <w:r w:rsidR="00F64583" w:rsidRPr="003F3FBA">
        <w:t xml:space="preserve"> </w:t>
      </w:r>
      <w:r w:rsidR="00F64583">
        <w:t>Saxena2011}</w:t>
      </w:r>
      <w:r w:rsidR="00AC570D">
        <w:t xml:space="preserve">,. Interestingly, \textit{GPR65}, another member of the acid-sensing GPCR family, has been associated with a number of immune mediated diseases, including AS, CD </w:t>
      </w:r>
      <w:r w:rsidR="00AC570D">
        <w:lastRenderedPageBreak/>
        <w:t xml:space="preserve">and MS </w:t>
      </w:r>
      <w:r w:rsidR="00003634">
        <w:t xml:space="preserve">and found to be a marker of pathogenic Th17 cells </w:t>
      </w:r>
      <w:r w:rsidR="006F781E">
        <w:t xml:space="preserve">in the murine and human systems </w:t>
      </w:r>
      <w:r w:rsidR="00AC570D">
        <w:t>\parencite{Cortes</w:t>
      </w:r>
      <w:r w:rsidR="00003634">
        <w:t>2013,Lassen2016,Wirasinha2018,</w:t>
      </w:r>
      <w:r w:rsidR="00AC570D">
        <w:t xml:space="preserve">Gaublomme2015, Al-Mossawi 2017}. </w:t>
      </w:r>
    </w:p>
    <w:p w14:paraId="56713846" w14:textId="5088C30D" w:rsidR="00262494" w:rsidRDefault="00262494" w:rsidP="008A60CB"/>
    <w:p w14:paraId="59BDAF6D" w14:textId="42E95998" w:rsidR="00B70AC5" w:rsidRPr="004352D6" w:rsidRDefault="006F781E" w:rsidP="00B70AC5">
      <w:r>
        <w:t>In</w:t>
      </w:r>
      <w:r w:rsidR="00DC72D0">
        <w:t xml:space="preserve"> the 3 </w:t>
      </w:r>
      <w:r w:rsidR="00DC72D0" w:rsidRPr="00270F82">
        <w:t xml:space="preserve">cell types \textit{SPP1} and \textit{FN1} were the most significantly </w:t>
      </w:r>
      <w:r w:rsidR="00DC72D0">
        <w:t>DEGs</w:t>
      </w:r>
      <w:r w:rsidR="00DC72D0" w:rsidRPr="00270F82">
        <w:t xml:space="preserve"> between synovial fluid and peripheral blood</w:t>
      </w:r>
      <w:r w:rsidR="00DC72D0">
        <w:t xml:space="preserve"> of PsA patients</w:t>
      </w:r>
      <w:r w:rsidR="00DC72D0" w:rsidRPr="00270F82">
        <w:t>, in line with the find</w:t>
      </w:r>
      <w:r w:rsidR="00DC72D0">
        <w:t>ing from Dolcino and colleagues</w:t>
      </w:r>
      <w:r w:rsidR="00DC72D0" w:rsidRPr="00270F82">
        <w:t>.</w:t>
      </w:r>
      <w:r w:rsidR="00DC72D0">
        <w:t xml:space="preserve"> </w:t>
      </w:r>
      <w:r w:rsidR="00634DA4">
        <w:t xml:space="preserve">Significant up-regulation of both genes in this data was tissue-specific in the 3 cell types, without significant changes in peripheral blood between PsA patients and controls. This was consistent with Dolcino and colleagues results for \texit{FN1} but not for \textit{SPP1}, where moderate up-regulation in peripheral blood from PsA patients compared to controls was also detected. </w:t>
      </w:r>
      <w:r w:rsidR="00415BA2">
        <w:t xml:space="preserve">Moreover, </w:t>
      </w:r>
      <w:r w:rsidR="00DC14DB">
        <w:t xml:space="preserve">in CD14$^+$ monocytes </w:t>
      </w:r>
      <w:r w:rsidR="00415BA2">
        <w:t>ATAC data has also revealed two synovial fluid open DARs at the promoter and downstream \textit{FN1} only</w:t>
      </w:r>
      <w:r w:rsidR="00DC14DB">
        <w:t xml:space="preserve">. \textit{FN1} encodes fibronectin-1, a main component of the cartilage matrix, involved in cell adhesion, migration, growth and differentiation and found to be highly expressed in RA inflamed synovium \parencite{Chang2005}.  \textit{FN1} has also shown to induce bone resorption mediated by pro-inflammatory mediators, such as nitric oxyde and IL-1$\beta$ \parencite{Gramoun2010}.  </w:t>
      </w:r>
    </w:p>
    <w:p w14:paraId="29AF9999" w14:textId="50A44E2F" w:rsidR="00262494" w:rsidRDefault="00262494" w:rsidP="008A60CB"/>
    <w:p w14:paraId="12A9F283" w14:textId="7E107DEF" w:rsidR="00262494" w:rsidRDefault="00CE5F2A" w:rsidP="00262494">
      <w:r>
        <w:t>Pathway</w:t>
      </w:r>
      <w:r w:rsidR="00262494">
        <w:t xml:space="preserve"> analysis using </w:t>
      </w:r>
      <w:r>
        <w:t>significant DEGs</w:t>
      </w:r>
      <w:r w:rsidR="00262494">
        <w:t xml:space="preserve"> between synovial fluid and peripheral blood in this data revealed enrichment for </w:t>
      </w:r>
      <w:r w:rsidR="000377A1">
        <w:t xml:space="preserve">chemokine, </w:t>
      </w:r>
      <w:r w:rsidR="00262494">
        <w:t>TLR and NOD-like signalling pathways in CD14$^+$ monocytes. This was consistent with the</w:t>
      </w:r>
      <w:r>
        <w:t xml:space="preserve"> well-known role of</w:t>
      </w:r>
      <w:r w:rsidR="00262494">
        <w:t xml:space="preserve"> TLR and NOD-like receptors for rheumatic diseases \parencite{McCormack2009}. </w:t>
      </w:r>
      <w:r w:rsidR="00B137DC">
        <w:t xml:space="preserve">The significant up-regulation of </w:t>
      </w:r>
      <w:r w:rsidR="00EA1A0F">
        <w:t xml:space="preserve">the receptors </w:t>
      </w:r>
      <w:r w:rsidR="00262494">
        <w:t>\textit{TLR1} and \textit{TLR2} in synovial fluid CD14$^+$ monocytes compared to periphe</w:t>
      </w:r>
      <w:r w:rsidR="00F43AAC">
        <w:t xml:space="preserve">ral blood </w:t>
      </w:r>
      <w:r w:rsidR="00B137DC">
        <w:t>contribut</w:t>
      </w:r>
      <w:r w:rsidR="00EA1A0F">
        <w:t>ed</w:t>
      </w:r>
      <w:r w:rsidR="00B137DC">
        <w:t xml:space="preserve"> to the enrichment of the TLR signaling pathway</w:t>
      </w:r>
      <w:r w:rsidR="00EA1A0F">
        <w:t>. Other studies have also reported</w:t>
      </w:r>
      <w:r w:rsidR="00B137DC">
        <w:t xml:space="preserve"> </w:t>
      </w:r>
      <w:r w:rsidR="00262494">
        <w:t>increased \textit{TLR-2} and \textit{TLR-4} expression in SFMCs compared to PBMCs in patients with juvenile idiopathic arthritis \parencite{Myles2011}.</w:t>
      </w:r>
      <w:r w:rsidR="00F7468C" w:rsidRPr="00F7468C">
        <w:t xml:space="preserve"> </w:t>
      </w:r>
      <w:r w:rsidR="00F7468C">
        <w:t xml:space="preserve">NOD-like signaling has also been highlighted in the genome-wide trancriptomic analysis in lesional and uninvolved psoriatic skin presented in Chapter \ref{ch:Results2}. </w:t>
      </w:r>
      <w:r w:rsidR="00B70844">
        <w:t>The nicotinamide enzyme coded by \textit{</w:t>
      </w:r>
      <w:r w:rsidR="007666FD" w:rsidRPr="007666FD">
        <w:t>NAMPT</w:t>
      </w:r>
      <w:r w:rsidR="00B70844">
        <w:t xml:space="preserve">} was up-regulated in synovial fluid compared to peripheral blood and </w:t>
      </w:r>
      <w:r w:rsidR="00035728">
        <w:t>its expression by</w:t>
      </w:r>
      <w:r w:rsidR="00B63E0B">
        <w:t xml:space="preserve"> pro-inflammatory monocytes </w:t>
      </w:r>
      <w:r w:rsidR="00035728">
        <w:t xml:space="preserve">mediates the </w:t>
      </w:r>
      <w:r w:rsidR="002B04DA">
        <w:t>pr</w:t>
      </w:r>
      <w:r w:rsidR="00E6730D">
        <w:t xml:space="preserve">oduction of pro-inflammatory cytokines and Th-17 cell differentiation, </w:t>
      </w:r>
      <w:r w:rsidR="004E6D59">
        <w:t>showing potential as a drug target in an arthritis mouse model \parencite{Presumey2013.}</w:t>
      </w:r>
      <w:r w:rsidR="00E6730D">
        <w:t xml:space="preserve"> </w:t>
      </w:r>
      <w:r w:rsidR="00CE77BE">
        <w:t xml:space="preserve"> </w:t>
      </w:r>
      <w:r w:rsidR="00262494">
        <w:t>The cross-talk between the TLR and NOD-like signalling pathways was further evidenced by network-based analysis</w:t>
      </w:r>
      <w:r w:rsidR="00714C5C">
        <w:t>,</w:t>
      </w:r>
      <w:r w:rsidR="00262494">
        <w:t xml:space="preserve"> </w:t>
      </w:r>
      <w:r w:rsidR="00585149">
        <w:t>where</w:t>
      </w:r>
      <w:r w:rsidR="00EF04BD">
        <w:t xml:space="preserve"> the</w:t>
      </w:r>
      <w:r w:rsidR="00585149">
        <w:t xml:space="preserve"> functional interaction between members of both pathways </w:t>
      </w:r>
      <w:r w:rsidR="00262494">
        <w:t xml:space="preserve"> </w:t>
      </w:r>
      <w:r w:rsidR="00714C5C">
        <w:t>may contribute</w:t>
      </w:r>
      <w:r w:rsidR="00EF04BD">
        <w:t xml:space="preserve"> to activation</w:t>
      </w:r>
      <w:r w:rsidR="00B95168">
        <w:t xml:space="preserve"> of NF$\kappa$B TF in synovial fluid</w:t>
      </w:r>
      <w:r w:rsidR="00262494">
        <w:t xml:space="preserve">, particularly in CD14$^+$ monocytes. </w:t>
      </w:r>
      <w:r w:rsidR="009E4CA9">
        <w:t>The e</w:t>
      </w:r>
      <w:r w:rsidR="00262494">
        <w:t xml:space="preserve">nrichment of </w:t>
      </w:r>
      <w:r w:rsidR="009E4CA9">
        <w:t xml:space="preserve">synovial fluid open </w:t>
      </w:r>
      <w:r w:rsidR="00262494">
        <w:t xml:space="preserve">DARs in the proximity of genes within the NF-$\kappa$B pathway </w:t>
      </w:r>
      <w:r w:rsidR="0095463A">
        <w:t>and could potentially lead to the</w:t>
      </w:r>
      <w:r w:rsidR="00262494">
        <w:t xml:space="preserve"> </w:t>
      </w:r>
      <w:r w:rsidR="0095463A">
        <w:t>transcriptional</w:t>
      </w:r>
      <w:r w:rsidR="00262494">
        <w:t xml:space="preserve"> up-regulation of downstream genes such as \textit{TNFA}, textit{CCL2} and \textit{CCL5}</w:t>
      </w:r>
      <w:r w:rsidR="00271367">
        <w:t xml:space="preserve"> and the enrichment of chemokine signa</w:t>
      </w:r>
      <w:r w:rsidR="000377A1">
        <w:t>l</w:t>
      </w:r>
      <w:r w:rsidR="00271367">
        <w:t xml:space="preserve">ling </w:t>
      </w:r>
      <w:r w:rsidR="000377A1">
        <w:t xml:space="preserve">in </w:t>
      </w:r>
      <w:r w:rsidR="00262494">
        <w:t xml:space="preserve"> </w:t>
      </w:r>
      <w:r w:rsidR="00271367">
        <w:t>CD14$^+$ monocytes</w:t>
      </w:r>
      <w:r w:rsidR="000377A1">
        <w:t xml:space="preserve"> DEGs</w:t>
      </w:r>
      <w:r w:rsidR="00271367">
        <w:t xml:space="preserve"> </w:t>
      </w:r>
      <w:r w:rsidR="000377A1">
        <w:t>between</w:t>
      </w:r>
      <w:r w:rsidR="00262494">
        <w:t xml:space="preserve"> synovial fluid</w:t>
      </w:r>
      <w:r w:rsidR="000377A1">
        <w:t xml:space="preserve"> and peripheral blood</w:t>
      </w:r>
      <w:r w:rsidR="00262494">
        <w:t xml:space="preserve">. </w:t>
      </w:r>
      <w:r w:rsidR="0095463A">
        <w:t>In</w:t>
      </w:r>
      <w:r w:rsidR="00262494">
        <w:t xml:space="preserve"> mCD4$^+$ </w:t>
      </w:r>
      <w:r w:rsidR="009D344F">
        <w:t xml:space="preserve">, enrichment of the </w:t>
      </w:r>
      <w:r w:rsidR="00262494">
        <w:t>IL-10 signalling pathway was particularl</w:t>
      </w:r>
      <w:r w:rsidR="001121E4">
        <w:t xml:space="preserve">y interesting in the context of the expansion of Tregs in synovial fluid </w:t>
      </w:r>
      <w:r w:rsidR="001F1EE4">
        <w:t>revealed</w:t>
      </w:r>
      <w:r w:rsidR="001121E4">
        <w:t xml:space="preserve"> by </w:t>
      </w:r>
      <w:r w:rsidR="002B4538">
        <w:t xml:space="preserve">colleagues’ </w:t>
      </w:r>
      <w:r w:rsidR="00262494">
        <w:t xml:space="preserve">flow cytometry </w:t>
      </w:r>
      <w:r w:rsidR="001121E4">
        <w:t xml:space="preserve">analysis in </w:t>
      </w:r>
      <w:r w:rsidR="001F1EE4">
        <w:t xml:space="preserve">the same samples. </w:t>
      </w:r>
      <w:r w:rsidR="00262494">
        <w:t>Tregs are characterised by the expression of anti-inflammatory cytokines, includi</w:t>
      </w:r>
      <w:r w:rsidR="001F1EE4">
        <w:t xml:space="preserve">ng IL-10 \parencite{Garra2004} and </w:t>
      </w:r>
      <w:r w:rsidR="00262494">
        <w:t xml:space="preserve">qPCR transcriptomic data showed in </w:t>
      </w:r>
      <w:r w:rsidR="0099387F">
        <w:t xml:space="preserve">a significant increase in expression of the IL-10 receptor subunit $\alpha$ \textit{IL10RA} and a similar trend for \textit{IL10} </w:t>
      </w:r>
      <w:r w:rsidR="00262494">
        <w:t xml:space="preserve">(p-value=0.004 and 0.14, respectively) </w:t>
      </w:r>
      <w:r w:rsidR="0099387F">
        <w:t xml:space="preserve">in synovial fluid mCD4$^+$ and mCD8$^+$ </w:t>
      </w:r>
      <w:r w:rsidR="00262494">
        <w:t xml:space="preserve">compared to peripheral blood. </w:t>
      </w:r>
      <w:r w:rsidR="0099387F">
        <w:t>This may</w:t>
      </w:r>
      <w:r w:rsidR="00262494">
        <w:t xml:space="preserve"> suggest that inflammation in PsA is refractory to the immunomodulatory effects for IL-10 signalling </w:t>
      </w:r>
      <w:r w:rsidR="00262494">
        <w:lastRenderedPageBreak/>
        <w:t>in synovial fluid o</w:t>
      </w:r>
      <w:r w:rsidR="00221E0B">
        <w:t>r</w:t>
      </w:r>
      <w:r w:rsidR="00262494">
        <w:t xml:space="preserve"> counterbalanced by the </w:t>
      </w:r>
      <w:r w:rsidR="00221E0B">
        <w:t xml:space="preserve">its </w:t>
      </w:r>
      <w:r w:rsidR="00262494">
        <w:t>immunostimulatory properties</w:t>
      </w:r>
      <w:r w:rsidR="00221E0B">
        <w:t xml:space="preserve">, in line with failure of IL-10 </w:t>
      </w:r>
      <w:r w:rsidR="002907CC">
        <w:t xml:space="preserve">agonist </w:t>
      </w:r>
      <w:r w:rsidR="00262494">
        <w:t xml:space="preserve">therapy in </w:t>
      </w:r>
      <w:r w:rsidR="00221E0B">
        <w:t xml:space="preserve">the treatment of </w:t>
      </w:r>
      <w:r w:rsidR="00262494">
        <w:t>CD and psoriasis \parencite{Marlow2013, Kimball2002}.</w:t>
      </w:r>
    </w:p>
    <w:p w14:paraId="4A58457A" w14:textId="376E4272" w:rsidR="00262494" w:rsidRDefault="00262494" w:rsidP="008A60CB"/>
    <w:p w14:paraId="1BF7E330" w14:textId="7C4EBEDF" w:rsidR="00262494" w:rsidRDefault="00262494" w:rsidP="008A60CB"/>
    <w:p w14:paraId="64BCE7B2" w14:textId="77777777" w:rsidR="002E5A32" w:rsidRDefault="002E5A32" w:rsidP="002E5A32">
      <w:r w:rsidRPr="00815591">
        <w:rPr>
          <w:color w:val="FF0000"/>
        </w:rPr>
        <w:t xml:space="preserve">Osteopontin, \textit{SPP1} protein product, is a cytokine and chemokine expressed by many cell types, including monocytes/macrophages and T cells. It is involved in cell migration, adhesion and cell-mediated immune response through regulation of T cells, importantly in Th-17 and plays a role in a number of chronic inflammatory and autoimmune diseases, including MS, RA and SLE arthritis \parencite{Morimoto2010,Rittling2015}. </w:t>
      </w:r>
    </w:p>
    <w:p w14:paraId="3E1179AC" w14:textId="77777777" w:rsidR="002E5A32" w:rsidRDefault="002E5A32" w:rsidP="002E5A32"/>
    <w:p w14:paraId="3F758570" w14:textId="77777777" w:rsidR="002E5A32" w:rsidRDefault="002E5A32" w:rsidP="002E5A32">
      <w:r w:rsidRPr="00B63E0B">
        <w:rPr>
          <w:strike/>
          <w:highlight w:val="yellow"/>
        </w:rPr>
        <w:t>Although additional samples would be required to ensure the tissue-specificity of differential expression observed for \textit{SPP1} and  \textit{FN1} in this study,</w:t>
      </w:r>
      <w:r w:rsidRPr="00826F73">
        <w:rPr>
          <w:highlight w:val="yellow"/>
        </w:rPr>
        <w:t xml:space="preserve"> the up-regulation both genes in synovial fluid highlights activation of chemotaxis, immune cell infiltration, activation of the Th-17 immune response and dysregulation of osteoclast bone remodeling , all hallmarks of the PsA pathophysiology \parencite{Durham2015, Mensah2008}.</w:t>
      </w:r>
    </w:p>
    <w:p w14:paraId="73FD76C2" w14:textId="5DC1D328" w:rsidR="00262494" w:rsidRDefault="00262494" w:rsidP="008A60CB"/>
    <w:p w14:paraId="6FCE87E9" w14:textId="6140E270" w:rsidR="00262494" w:rsidRDefault="00262494" w:rsidP="008A60CB"/>
    <w:p w14:paraId="113BD901" w14:textId="4000A792" w:rsidR="00262494" w:rsidRDefault="00262494" w:rsidP="008A60CB"/>
    <w:p w14:paraId="74296C52" w14:textId="77777777" w:rsidR="00262494" w:rsidRDefault="00262494" w:rsidP="008A60CB"/>
    <w:p w14:paraId="113C49A4" w14:textId="77777777" w:rsidR="007B3C4A" w:rsidRDefault="007B3C4A" w:rsidP="008A60CB"/>
    <w:p w14:paraId="520A9CAB" w14:textId="77777777" w:rsidR="008A60CB" w:rsidRDefault="008A60CB" w:rsidP="006B7EFD"/>
    <w:p w14:paraId="52A4D466" w14:textId="77777777" w:rsidR="008A60CB" w:rsidRDefault="008A60CB" w:rsidP="006B7EFD"/>
    <w:p w14:paraId="102EAB46" w14:textId="56C36883" w:rsidR="00C12407" w:rsidRDefault="00C12407" w:rsidP="006B7EFD"/>
    <w:p w14:paraId="218D47A1" w14:textId="44019D64" w:rsidR="005E0D81" w:rsidRDefault="005E0D81" w:rsidP="006B7EFD"/>
    <w:p w14:paraId="0CFFDE1F" w14:textId="4EF9081A" w:rsidR="005E0D81" w:rsidRDefault="005E0D81" w:rsidP="006B7EFD"/>
    <w:p w14:paraId="42B8BA2B" w14:textId="43CACC9A" w:rsidR="005E0D81" w:rsidRDefault="005E0D81" w:rsidP="006B7EFD"/>
    <w:p w14:paraId="561806A3" w14:textId="72C37B1F" w:rsidR="005E0D81" w:rsidRDefault="005E0D81" w:rsidP="006B7EFD"/>
    <w:p w14:paraId="50574148" w14:textId="3E704C16" w:rsidR="005E0D81" w:rsidRDefault="005E0D81" w:rsidP="006B7EFD"/>
    <w:p w14:paraId="7523B52A" w14:textId="75EA0FE7" w:rsidR="005E0D81" w:rsidRDefault="005E0D81" w:rsidP="006B7EFD"/>
    <w:p w14:paraId="2F7116AB" w14:textId="207F5A71" w:rsidR="005E0D81" w:rsidRDefault="005E0D81" w:rsidP="006B7EFD"/>
    <w:p w14:paraId="50BD5CFE" w14:textId="0BA5621B" w:rsidR="005E0D81" w:rsidRDefault="005E0D81" w:rsidP="006B7EFD"/>
    <w:p w14:paraId="62B15383" w14:textId="47DDC126" w:rsidR="005E0D81" w:rsidRDefault="005E0D81" w:rsidP="006B7EFD"/>
    <w:p w14:paraId="2147B29D" w14:textId="569BE269" w:rsidR="005E0D81" w:rsidRDefault="005E0D81" w:rsidP="006B7EFD"/>
    <w:p w14:paraId="5DF0FE44" w14:textId="318553B5" w:rsidR="005E0D81" w:rsidRDefault="005E0D81" w:rsidP="005E0D81">
      <w:bookmarkStart w:id="1" w:name="_GoBack"/>
      <w:r>
        <w:t>\subsection{</w:t>
      </w:r>
      <w:r w:rsidR="003954FE">
        <w:t xml:space="preserve">Integration of protein expression data with </w:t>
      </w:r>
      <w:r>
        <w:t>chromatin accessibility and transcriptomic data}</w:t>
      </w:r>
    </w:p>
    <w:p w14:paraId="3F627137" w14:textId="7F8DA3EC" w:rsidR="00941333" w:rsidRDefault="00D46EEB" w:rsidP="00941333">
      <w:r>
        <w:t xml:space="preserve">Single-cell mass cytometry data generated in the 4 patients with qPCR and/or ATAC data available and additional 6 patients </w:t>
      </w:r>
      <w:r w:rsidR="00463607">
        <w:t xml:space="preserve">investigated </w:t>
      </w:r>
      <w:r w:rsidR="00B17089">
        <w:t xml:space="preserve">the expression of a number of cytokines produced by CD14$^+$ monocytes in synovial fluid and peripheral blood. </w:t>
      </w:r>
      <w:r w:rsidR="009E68EE">
        <w:t>The</w:t>
      </w:r>
      <w:r w:rsidR="00B17089">
        <w:t xml:space="preserve"> increased </w:t>
      </w:r>
      <w:r w:rsidR="00463607">
        <w:t xml:space="preserve">percentage </w:t>
      </w:r>
      <w:r w:rsidR="003C7842">
        <w:t>of monocytes</w:t>
      </w:r>
      <w:r w:rsidR="00EF540B">
        <w:t xml:space="preserve"> producing TNF-$\alpha$, MCP-1, </w:t>
      </w:r>
      <w:r w:rsidR="00463607">
        <w:t>osteopontin</w:t>
      </w:r>
      <w:r w:rsidR="00EF540B">
        <w:t xml:space="preserve"> and IP-10</w:t>
      </w:r>
      <w:r w:rsidR="009E68EE">
        <w:t xml:space="preserve"> was consistent with </w:t>
      </w:r>
      <w:r w:rsidR="003C7842">
        <w:t xml:space="preserve">the </w:t>
      </w:r>
      <w:r w:rsidR="00EF540B">
        <w:t>4</w:t>
      </w:r>
      <w:r w:rsidR="003C7842">
        <w:t xml:space="preserve"> genes </w:t>
      </w:r>
      <w:r w:rsidR="009E68EE">
        <w:t>being</w:t>
      </w:r>
      <w:r w:rsidR="003C7842">
        <w:t xml:space="preserve"> transcriptionally up-regulated</w:t>
      </w:r>
      <w:r w:rsidR="00B17089">
        <w:t xml:space="preserve"> in </w:t>
      </w:r>
      <w:r w:rsidR="00B7240E">
        <w:t xml:space="preserve">PsA </w:t>
      </w:r>
      <w:r w:rsidR="00B17089">
        <w:t>CD14$^+$ monocytes</w:t>
      </w:r>
      <w:r w:rsidR="00EF540B">
        <w:t xml:space="preserve"> </w:t>
      </w:r>
      <w:r w:rsidR="00EC1C37">
        <w:t xml:space="preserve">from </w:t>
      </w:r>
      <w:r w:rsidR="00EC1C37">
        <w:t xml:space="preserve">synovial fluid </w:t>
      </w:r>
      <w:r w:rsidR="00EF540B">
        <w:t>compared to peripheral blood</w:t>
      </w:r>
      <w:r w:rsidR="00B7240E">
        <w:t xml:space="preserve">. </w:t>
      </w:r>
      <w:r w:rsidR="008075E7">
        <w:t>An</w:t>
      </w:r>
      <w:r w:rsidR="00F76924">
        <w:t xml:space="preserve"> study using enzyme-linked immunosorbent assay (ELISA)</w:t>
      </w:r>
      <w:r w:rsidR="008075E7">
        <w:t xml:space="preserve"> has</w:t>
      </w:r>
      <w:r w:rsidR="00F76924">
        <w:t xml:space="preserve"> reported an increa</w:t>
      </w:r>
      <w:r w:rsidR="004A45A7">
        <w:t xml:space="preserve">sed production of TNF-$\alpha$ </w:t>
      </w:r>
      <w:r w:rsidR="00F76924">
        <w:t xml:space="preserve">in PsA synovial fluid compared to OA \parencite{Partsch1997}.  </w:t>
      </w:r>
      <w:r w:rsidR="008075E7">
        <w:t xml:space="preserve">The importance of osteopontin has already been highlighted as its coding gene </w:t>
      </w:r>
      <w:r w:rsidR="00FC280C">
        <w:t xml:space="preserve">\textit{SSP1} coding for osteopontin was one of the top two DEGs between synovial fluid and peripheral blood of PsA, with particularly large fold changes in CD14$^+$ monocytes.  </w:t>
      </w:r>
      <w:r w:rsidR="00F243E6">
        <w:t>Osteopontin</w:t>
      </w:r>
      <w:r w:rsidR="00397157" w:rsidRPr="00815591">
        <w:rPr>
          <w:color w:val="FF0000"/>
        </w:rPr>
        <w:t xml:space="preserve"> is a cytokine and chemokine expressed by many cell types, including monocytes/macrophages</w:t>
      </w:r>
      <w:r w:rsidR="008D50D6">
        <w:rPr>
          <w:color w:val="FF0000"/>
        </w:rPr>
        <w:t>,</w:t>
      </w:r>
      <w:r w:rsidR="00397157" w:rsidRPr="00815591">
        <w:rPr>
          <w:color w:val="FF0000"/>
        </w:rPr>
        <w:t xml:space="preserve"> involved in cell migration, adhesion and cell-mediated immune response through Th-17</w:t>
      </w:r>
      <w:r w:rsidR="001600DF">
        <w:rPr>
          <w:color w:val="FF0000"/>
        </w:rPr>
        <w:t xml:space="preserve"> </w:t>
      </w:r>
      <w:r w:rsidR="008D50D6">
        <w:rPr>
          <w:color w:val="FF0000"/>
        </w:rPr>
        <w:t>differentiation</w:t>
      </w:r>
      <w:r w:rsidR="001600DF">
        <w:rPr>
          <w:color w:val="FF0000"/>
        </w:rPr>
        <w:t xml:space="preserve">, playing a role in a number of </w:t>
      </w:r>
      <w:r w:rsidR="00397157" w:rsidRPr="00815591">
        <w:rPr>
          <w:color w:val="FF0000"/>
        </w:rPr>
        <w:t xml:space="preserve"> chronic inflammatory and autoimmune diseases \parencite{Morimoto2010,Rittling2015}. </w:t>
      </w:r>
    </w:p>
    <w:p w14:paraId="089EA2A4" w14:textId="4B86B602" w:rsidR="00B336D3" w:rsidRDefault="00844EB7" w:rsidP="0052371D">
      <w:r>
        <w:t>In</w:t>
      </w:r>
      <w:r>
        <w:t xml:space="preserve"> CD14$^+$ monocytes</w:t>
      </w:r>
      <w:r>
        <w:t>,</w:t>
      </w:r>
      <w:r>
        <w:t xml:space="preserve"> </w:t>
      </w:r>
      <w:r w:rsidR="00C015FE">
        <w:t xml:space="preserve">\textit{CCL2}/MCP-1 </w:t>
      </w:r>
      <w:r w:rsidR="00FC280C">
        <w:t xml:space="preserve">and \textit{CXCL10}/IP-10 </w:t>
      </w:r>
      <w:r>
        <w:t xml:space="preserve">were </w:t>
      </w:r>
      <w:r w:rsidR="00294CE2">
        <w:t>example</w:t>
      </w:r>
      <w:r>
        <w:t>s</w:t>
      </w:r>
      <w:r w:rsidR="00294CE2">
        <w:t xml:space="preserve"> for</w:t>
      </w:r>
      <w:r w:rsidR="00C015FE">
        <w:t xml:space="preserve"> </w:t>
      </w:r>
      <w:r w:rsidR="00636B35">
        <w:t xml:space="preserve">pro-inflammatory </w:t>
      </w:r>
      <w:r w:rsidR="00F74D6C">
        <w:t>molecules showing</w:t>
      </w:r>
      <w:r w:rsidR="00636B35">
        <w:t xml:space="preserve"> </w:t>
      </w:r>
      <w:r w:rsidR="00C015FE">
        <w:t xml:space="preserve">correlating differences </w:t>
      </w:r>
      <w:r>
        <w:t xml:space="preserve">between synovial fluid and peripheral blood </w:t>
      </w:r>
      <w:r w:rsidR="00636B35">
        <w:t>at the</w:t>
      </w:r>
      <w:r w:rsidR="00C015FE">
        <w:t xml:space="preserve"> chromatin accessibility, </w:t>
      </w:r>
      <w:r w:rsidR="002E0FA5">
        <w:t>transcriptomic and protein expression</w:t>
      </w:r>
      <w:r w:rsidR="00636B35">
        <w:t xml:space="preserve"> level</w:t>
      </w:r>
      <w:r w:rsidR="002E0FA5">
        <w:t>s</w:t>
      </w:r>
      <w:r w:rsidR="00C015FE">
        <w:t xml:space="preserve">. </w:t>
      </w:r>
      <w:r w:rsidR="00B336D3">
        <w:t>Dolcino’s study did not identify up-regulation of \textit{CCL2} or \textit{CXCL10} expression in PsA synovial membranes when com</w:t>
      </w:r>
      <w:r w:rsidR="008672CD">
        <w:t xml:space="preserve">pared to OA, likely due to the </w:t>
      </w:r>
      <w:r w:rsidR="00B336D3">
        <w:t xml:space="preserve">mixed composition of </w:t>
      </w:r>
      <w:r w:rsidR="002E0FA5">
        <w:t xml:space="preserve">cell in the synovial membranes </w:t>
      </w:r>
      <w:r w:rsidR="00B336D3">
        <w:t xml:space="preserve">dominated by connective and adipose tissue. </w:t>
      </w:r>
      <w:r w:rsidR="00B07DA7">
        <w:t>The open synovial fluid DARs upstream \tex</w:t>
      </w:r>
      <w:r w:rsidR="006F69BB">
        <w:t>t</w:t>
      </w:r>
      <w:r w:rsidR="00B07DA7">
        <w:t>it{CCL2} and \tex</w:t>
      </w:r>
      <w:r w:rsidR="006F69BB">
        <w:t>t</w:t>
      </w:r>
      <w:r w:rsidR="00B07DA7">
        <w:t>it{CXCL10}</w:t>
      </w:r>
      <w:r w:rsidR="00AE1032">
        <w:t xml:space="preserve"> in CD14$^+$ monocytes highlighted</w:t>
      </w:r>
      <w:r w:rsidR="00446CAA">
        <w:t xml:space="preserve"> </w:t>
      </w:r>
      <w:r w:rsidR="005C493A">
        <w:t>c</w:t>
      </w:r>
      <w:r w:rsidR="00446CAA">
        <w:t xml:space="preserve">hanges in chromatin accessibility </w:t>
      </w:r>
      <w:r w:rsidR="00B30C4A">
        <w:t>that are likely driven by the</w:t>
      </w:r>
      <w:r w:rsidR="000D47BB">
        <w:t xml:space="preserve"> </w:t>
      </w:r>
      <w:r w:rsidR="000706D1">
        <w:t>pro-inflammatory</w:t>
      </w:r>
      <w:r w:rsidR="00446CAA">
        <w:t xml:space="preserve"> environment in the joint</w:t>
      </w:r>
      <w:r w:rsidR="000706D1">
        <w:t xml:space="preserve">. </w:t>
      </w:r>
      <w:r w:rsidR="00F131E0">
        <w:t>These</w:t>
      </w:r>
      <w:r w:rsidR="000706D1">
        <w:t xml:space="preserve"> two differential accessible sites </w:t>
      </w:r>
      <w:r w:rsidR="00B07DA7">
        <w:t xml:space="preserve">were not found to interact with distal promoters </w:t>
      </w:r>
      <w:r w:rsidR="0025347B">
        <w:t>in</w:t>
      </w:r>
      <w:r w:rsidR="00F94990">
        <w:t xml:space="preserve"> unstimulated monocytes \parencite{Javierre2016</w:t>
      </w:r>
      <w:r w:rsidR="00662DD7">
        <w:t>} and</w:t>
      </w:r>
      <w:r w:rsidR="00446CAA">
        <w:t>,</w:t>
      </w:r>
      <w:r w:rsidR="00662DD7">
        <w:t xml:space="preserve"> </w:t>
      </w:r>
      <w:r w:rsidR="00B07DA7">
        <w:t xml:space="preserve">given the proximity to </w:t>
      </w:r>
      <w:r w:rsidR="00C12A9E">
        <w:t>each of the genes,</w:t>
      </w:r>
      <w:r w:rsidR="00446CAA">
        <w:t xml:space="preserve"> both</w:t>
      </w:r>
      <w:r w:rsidR="00E7439E">
        <w:t xml:space="preserve"> regions</w:t>
      </w:r>
      <w:r w:rsidR="00446CAA">
        <w:t xml:space="preserve"> may</w:t>
      </w:r>
      <w:r w:rsidR="00F94990">
        <w:t xml:space="preserve"> </w:t>
      </w:r>
      <w:r w:rsidR="0025347B">
        <w:t>exert a local</w:t>
      </w:r>
      <w:r w:rsidR="00F94990">
        <w:t xml:space="preserve"> </w:t>
      </w:r>
      <w:r w:rsidR="00E7439E">
        <w:t xml:space="preserve">regulatory </w:t>
      </w:r>
      <w:r w:rsidR="00F94990">
        <w:t xml:space="preserve">effect in </w:t>
      </w:r>
      <w:r w:rsidR="00E7439E">
        <w:t>the</w:t>
      </w:r>
      <w:r w:rsidR="00907570">
        <w:t xml:space="preserve"> </w:t>
      </w:r>
      <w:r w:rsidR="00DA0D90">
        <w:t>expression</w:t>
      </w:r>
      <w:r w:rsidR="00E7439E">
        <w:t xml:space="preserve"> of \textit{CCL2} and \textit{CXCL10}, respectively</w:t>
      </w:r>
      <w:r w:rsidR="00446CAA">
        <w:t xml:space="preserve">. </w:t>
      </w:r>
    </w:p>
    <w:p w14:paraId="4A30ECD3" w14:textId="53365BCB" w:rsidR="00BE0E21" w:rsidRDefault="00A52AEA" w:rsidP="00BE0E21">
      <w:pPr>
        <w:rPr>
          <w:color w:val="FF0000"/>
        </w:rPr>
      </w:pPr>
      <w:r>
        <w:t xml:space="preserve">In terms of pathophysiology, </w:t>
      </w:r>
      <w:r w:rsidR="009941F3">
        <w:t>MCP-1 is one of the key cytokines involved in monocytes migration fro</w:t>
      </w:r>
      <w:r w:rsidR="00B24A47">
        <w:t xml:space="preserve">m peripheral blood into tissues </w:t>
      </w:r>
      <w:r w:rsidR="009941F3">
        <w:t>but it also has a role in chemotaxis of T ce</w:t>
      </w:r>
      <w:r w:rsidR="00E80440">
        <w:t>lls to the site of inflammation \parencite{Tsou2007,</w:t>
      </w:r>
      <w:r w:rsidR="00E80440" w:rsidRPr="00E80440">
        <w:t>Shadidi</w:t>
      </w:r>
      <w:r w:rsidR="00E80440">
        <w:t xml:space="preserve">2003}. </w:t>
      </w:r>
      <w:r w:rsidR="00BA7846">
        <w:t>Up</w:t>
      </w:r>
      <w:r w:rsidR="00B12D93">
        <w:t>-regulation of</w:t>
      </w:r>
      <w:r w:rsidR="00FB1A69">
        <w:t xml:space="preserve"> MCP-</w:t>
      </w:r>
      <w:r w:rsidR="004436BD">
        <w:t>1</w:t>
      </w:r>
      <w:r w:rsidR="00FB1A69">
        <w:t xml:space="preserve"> expression </w:t>
      </w:r>
      <w:r w:rsidR="00B12D93">
        <w:t>in plasma compared to contro</w:t>
      </w:r>
      <w:r w:rsidR="007B4CC0">
        <w:t xml:space="preserve">ls has previously been demonstrated </w:t>
      </w:r>
      <w:r w:rsidR="00E83E10">
        <w:t xml:space="preserve">and </w:t>
      </w:r>
      <w:r w:rsidR="00BA7846">
        <w:t>shown to correlate</w:t>
      </w:r>
      <w:r w:rsidR="00E83E10">
        <w:t xml:space="preserve"> with the infiltrated levels </w:t>
      </w:r>
      <w:r w:rsidR="008148D9">
        <w:t xml:space="preserve">of T cells </w:t>
      </w:r>
      <w:r w:rsidR="002864F4">
        <w:t xml:space="preserve">in the synovium </w:t>
      </w:r>
      <w:r w:rsidR="00243778">
        <w:t xml:space="preserve">\parencite{Ross2000}. </w:t>
      </w:r>
      <w:r w:rsidR="00524E2D">
        <w:t xml:space="preserve">Nevertheless, CD14$^+$ monocytes-specific gene and protein expression of \textit{CCL2}/MCP-1 in PsA had not been investigated. </w:t>
      </w:r>
      <w:r w:rsidR="00524E2D">
        <w:t>The</w:t>
      </w:r>
      <w:r w:rsidR="00B24A47">
        <w:t xml:space="preserve"> </w:t>
      </w:r>
      <w:r w:rsidR="00B24A47">
        <w:rPr>
          <w:color w:val="FF0000"/>
        </w:rPr>
        <w:t>transcriptional up-regulation of \textit{CCR2}, the receptor of MCP-1,</w:t>
      </w:r>
      <w:r w:rsidR="00B24A47" w:rsidRPr="007C3ED9">
        <w:rPr>
          <w:color w:val="FF0000"/>
        </w:rPr>
        <w:t xml:space="preserve"> in </w:t>
      </w:r>
      <w:r w:rsidR="00B24A47">
        <w:rPr>
          <w:color w:val="FF0000"/>
        </w:rPr>
        <w:t xml:space="preserve">PsA </w:t>
      </w:r>
      <w:r w:rsidR="00B24A47" w:rsidRPr="007C3ED9">
        <w:rPr>
          <w:color w:val="FF0000"/>
        </w:rPr>
        <w:t xml:space="preserve">synovial fluid mCD8$^+$ </w:t>
      </w:r>
      <w:r w:rsidR="00B24A47">
        <w:rPr>
          <w:color w:val="FF0000"/>
        </w:rPr>
        <w:t>compared to peripheral blood</w:t>
      </w:r>
      <w:r w:rsidR="00524E2D">
        <w:rPr>
          <w:color w:val="FF0000"/>
        </w:rPr>
        <w:t xml:space="preserve"> in my data</w:t>
      </w:r>
      <w:r w:rsidR="00B24A47">
        <w:rPr>
          <w:color w:val="FF0000"/>
        </w:rPr>
        <w:t xml:space="preserve"> reinforces the biological role of \textit{CCL2}-\textit{CCR2} in mediating </w:t>
      </w:r>
      <w:r w:rsidR="00B24A47" w:rsidRPr="007C3ED9">
        <w:rPr>
          <w:color w:val="FF0000"/>
        </w:rPr>
        <w:t>T cell infiltration in the synovium</w:t>
      </w:r>
      <w:r w:rsidR="00B24A47">
        <w:rPr>
          <w:color w:val="FF0000"/>
        </w:rPr>
        <w:t xml:space="preserve"> and the subsequent mCD8$^+$ T cell expansion in this tissue. </w:t>
      </w:r>
      <w:r w:rsidR="00D969EE">
        <w:rPr>
          <w:color w:val="FF0000"/>
        </w:rPr>
        <w:t xml:space="preserve">Nevertheless, the potential therapeutic effect of </w:t>
      </w:r>
      <w:r w:rsidR="00D969EE">
        <w:t xml:space="preserve">\textit{CCL2}-\textit{CCR2} </w:t>
      </w:r>
      <w:r w:rsidR="00033759">
        <w:t>agonists</w:t>
      </w:r>
      <w:r w:rsidR="00D969EE">
        <w:t xml:space="preserve"> has failed </w:t>
      </w:r>
      <w:r w:rsidR="00D969EE">
        <w:t xml:space="preserve">in RA  using a human anti-CCR2 blocking antibody \parencite{Vergunst2008}. </w:t>
      </w:r>
      <w:r w:rsidR="00B81F73">
        <w:rPr>
          <w:color w:val="FF0000"/>
        </w:rPr>
        <w:t xml:space="preserve"> \texit{CXCL10}</w:t>
      </w:r>
      <w:r w:rsidR="008672CD">
        <w:rPr>
          <w:color w:val="FF0000"/>
        </w:rPr>
        <w:t xml:space="preserve"> </w:t>
      </w:r>
      <w:r w:rsidR="00C35702">
        <w:rPr>
          <w:color w:val="FF0000"/>
        </w:rPr>
        <w:t>is a</w:t>
      </w:r>
      <w:r w:rsidR="00786035">
        <w:rPr>
          <w:color w:val="FF0000"/>
        </w:rPr>
        <w:t>lso a</w:t>
      </w:r>
      <w:r w:rsidR="00170F96">
        <w:rPr>
          <w:color w:val="FF0000"/>
        </w:rPr>
        <w:t xml:space="preserve"> pro-inflammatory </w:t>
      </w:r>
      <w:r w:rsidR="00D24AF8">
        <w:rPr>
          <w:color w:val="FF0000"/>
        </w:rPr>
        <w:t xml:space="preserve">chemokine secreted by several </w:t>
      </w:r>
      <w:r w:rsidR="00C05AC0">
        <w:rPr>
          <w:color w:val="FF0000"/>
        </w:rPr>
        <w:t xml:space="preserve">immune and non-immune related cells </w:t>
      </w:r>
      <w:r w:rsidR="000D399D">
        <w:rPr>
          <w:color w:val="FF0000"/>
        </w:rPr>
        <w:t xml:space="preserve">upon IFN-$\gamma$ and TNF-$\alpha$ stimulation and </w:t>
      </w:r>
      <w:r w:rsidR="00C05AC0">
        <w:rPr>
          <w:color w:val="FF0000"/>
        </w:rPr>
        <w:t>participates into the recruitment of T cells, monocytes and NK, amongst others,</w:t>
      </w:r>
      <w:r w:rsidR="003745AF">
        <w:rPr>
          <w:color w:val="FF0000"/>
        </w:rPr>
        <w:t xml:space="preserve"> to sites of</w:t>
      </w:r>
      <w:r w:rsidR="00C05AC0">
        <w:rPr>
          <w:color w:val="FF0000"/>
        </w:rPr>
        <w:t xml:space="preserve"> inflammation</w:t>
      </w:r>
      <w:r w:rsidR="00197AD2">
        <w:rPr>
          <w:color w:val="FF0000"/>
        </w:rPr>
        <w:t xml:space="preserve"> \parencite{Antonelli2014}</w:t>
      </w:r>
      <w:r w:rsidR="00C05AC0">
        <w:rPr>
          <w:color w:val="FF0000"/>
        </w:rPr>
        <w:t xml:space="preserve">. </w:t>
      </w:r>
      <w:r w:rsidR="008D4426">
        <w:rPr>
          <w:color w:val="FF0000"/>
        </w:rPr>
        <w:t>Significant u</w:t>
      </w:r>
      <w:r w:rsidR="00AC64D6">
        <w:rPr>
          <w:color w:val="FF0000"/>
        </w:rPr>
        <w:t>p-regulation of \textit{CXCL10}</w:t>
      </w:r>
      <w:r w:rsidR="00B65202">
        <w:rPr>
          <w:color w:val="FF0000"/>
        </w:rPr>
        <w:t xml:space="preserve"> </w:t>
      </w:r>
      <w:r w:rsidR="00C46CA5">
        <w:rPr>
          <w:color w:val="FF0000"/>
        </w:rPr>
        <w:t>by qPCR was only found</w:t>
      </w:r>
      <w:r w:rsidR="00AC64D6">
        <w:rPr>
          <w:color w:val="FF0000"/>
        </w:rPr>
        <w:t xml:space="preserve"> in </w:t>
      </w:r>
      <w:r w:rsidR="001817EB">
        <w:rPr>
          <w:color w:val="FF0000"/>
        </w:rPr>
        <w:t xml:space="preserve">CD14$^+$ monocytes between </w:t>
      </w:r>
      <w:r w:rsidR="00AC64D6">
        <w:rPr>
          <w:color w:val="FF0000"/>
        </w:rPr>
        <w:t xml:space="preserve">synovial fluid </w:t>
      </w:r>
      <w:r w:rsidR="001817EB">
        <w:rPr>
          <w:color w:val="FF0000"/>
        </w:rPr>
        <w:t>and</w:t>
      </w:r>
      <w:r w:rsidR="009B7EBA">
        <w:rPr>
          <w:color w:val="FF0000"/>
        </w:rPr>
        <w:t xml:space="preserve"> peripheral blood </w:t>
      </w:r>
      <w:r w:rsidR="00B10891">
        <w:rPr>
          <w:color w:val="FF0000"/>
        </w:rPr>
        <w:t>and in</w:t>
      </w:r>
      <w:r w:rsidR="001817EB">
        <w:rPr>
          <w:color w:val="FF0000"/>
        </w:rPr>
        <w:t xml:space="preserve"> </w:t>
      </w:r>
      <w:r w:rsidR="003745AF">
        <w:rPr>
          <w:color w:val="FF0000"/>
        </w:rPr>
        <w:t>PsA peripheral blood vs</w:t>
      </w:r>
      <w:r w:rsidR="00731574">
        <w:rPr>
          <w:color w:val="FF0000"/>
        </w:rPr>
        <w:t xml:space="preserve"> healthy</w:t>
      </w:r>
      <w:r w:rsidR="00C46CA5">
        <w:rPr>
          <w:color w:val="FF0000"/>
        </w:rPr>
        <w:t xml:space="preserve"> controls</w:t>
      </w:r>
      <w:r w:rsidR="00607712">
        <w:rPr>
          <w:color w:val="FF0000"/>
        </w:rPr>
        <w:t xml:space="preserve">. </w:t>
      </w:r>
      <w:r w:rsidR="009653C0">
        <w:rPr>
          <w:color w:val="FF0000"/>
        </w:rPr>
        <w:t xml:space="preserve">A recent conference abstract studying immune cell populations isolated from </w:t>
      </w:r>
      <w:r w:rsidR="009653C0">
        <w:rPr>
          <w:color w:val="FF0000"/>
        </w:rPr>
        <w:lastRenderedPageBreak/>
        <w:t>PsA has also demonstrated greater expression levels of \texit{CXCL10} in monocytes compared to T cells \parencite{</w:t>
      </w:r>
      <w:r w:rsidR="009653C0" w:rsidRPr="00746472">
        <w:rPr>
          <w:color w:val="FF0000"/>
        </w:rPr>
        <w:t>Muntyanu2017</w:t>
      </w:r>
      <w:r w:rsidR="009653C0">
        <w:rPr>
          <w:color w:val="FF0000"/>
        </w:rPr>
        <w:t>}.</w:t>
      </w:r>
      <w:r w:rsidR="009653C0">
        <w:rPr>
          <w:color w:val="FF0000"/>
        </w:rPr>
        <w:t xml:space="preserve"> </w:t>
      </w:r>
      <w:r w:rsidR="00E96738">
        <w:rPr>
          <w:color w:val="FF0000"/>
        </w:rPr>
        <w:t>Interestingly, m</w:t>
      </w:r>
      <w:r w:rsidR="00283276">
        <w:rPr>
          <w:color w:val="FF0000"/>
        </w:rPr>
        <w:t xml:space="preserve">ass cytometry data of </w:t>
      </w:r>
      <w:r w:rsidR="0070092C">
        <w:rPr>
          <w:color w:val="FF0000"/>
        </w:rPr>
        <w:t xml:space="preserve">mCD4$^+$ and mCD8$^+$ cells from the same 10 </w:t>
      </w:r>
      <w:r w:rsidR="00283276">
        <w:rPr>
          <w:color w:val="FF0000"/>
        </w:rPr>
        <w:t xml:space="preserve">PsA patients </w:t>
      </w:r>
      <w:r w:rsidR="00E96738">
        <w:rPr>
          <w:color w:val="FF0000"/>
        </w:rPr>
        <w:t>did not show</w:t>
      </w:r>
      <w:r w:rsidR="0070092C">
        <w:rPr>
          <w:color w:val="FF0000"/>
        </w:rPr>
        <w:t xml:space="preserve"> significant differences in the percentage of cells producing this chemokine between synovial fluid and peripheral blood</w:t>
      </w:r>
      <w:r w:rsidR="0070092C">
        <w:rPr>
          <w:color w:val="FF0000"/>
        </w:rPr>
        <w:t>, reinforcing</w:t>
      </w:r>
      <w:r w:rsidR="0070092C">
        <w:rPr>
          <w:color w:val="FF0000"/>
        </w:rPr>
        <w:t xml:space="preserve"> CD14$^+$ monocyte specific</w:t>
      </w:r>
      <w:r w:rsidR="0070092C">
        <w:rPr>
          <w:color w:val="FF0000"/>
        </w:rPr>
        <w:t>ity of \texit{CXCL10}</w:t>
      </w:r>
      <w:r w:rsidR="0070092C">
        <w:rPr>
          <w:color w:val="FF0000"/>
        </w:rPr>
        <w:t xml:space="preserve"> dysregulation </w:t>
      </w:r>
      <w:r w:rsidR="0070092C">
        <w:rPr>
          <w:color w:val="FF0000"/>
        </w:rPr>
        <w:t>between the two tissues</w:t>
      </w:r>
      <w:r w:rsidR="00E96738">
        <w:rPr>
          <w:color w:val="FF0000"/>
        </w:rPr>
        <w:t xml:space="preserve"> in PsA</w:t>
      </w:r>
      <w:r w:rsidR="0070092C">
        <w:rPr>
          <w:color w:val="FF0000"/>
        </w:rPr>
        <w:t>.</w:t>
      </w:r>
      <w:r w:rsidR="0070092C">
        <w:rPr>
          <w:color w:val="FF0000"/>
        </w:rPr>
        <w:t xml:space="preserve"> </w:t>
      </w:r>
      <w:r w:rsidR="00E96738">
        <w:rPr>
          <w:color w:val="FF0000"/>
        </w:rPr>
        <w:t>Lastly</w:t>
      </w:r>
      <w:r w:rsidR="0072148D">
        <w:rPr>
          <w:color w:val="FF0000"/>
        </w:rPr>
        <w:t>, i</w:t>
      </w:r>
      <w:r w:rsidR="00BE0E21">
        <w:rPr>
          <w:color w:val="FF0000"/>
        </w:rPr>
        <w:t xml:space="preserve">ncreased transcript levels of \textit{CXCL10} in PsA peripheral blood compared to psoriasis vulgaris have </w:t>
      </w:r>
      <w:r w:rsidR="00E96738">
        <w:rPr>
          <w:color w:val="FF0000"/>
        </w:rPr>
        <w:t>highlighted the</w:t>
      </w:r>
      <w:r w:rsidR="00244CE8">
        <w:rPr>
          <w:color w:val="FF0000"/>
        </w:rPr>
        <w:t xml:space="preserve"> role of</w:t>
      </w:r>
      <w:r w:rsidR="0072148D">
        <w:rPr>
          <w:color w:val="FF0000"/>
        </w:rPr>
        <w:t xml:space="preserve"> this chem</w:t>
      </w:r>
      <w:r w:rsidR="000D687F">
        <w:rPr>
          <w:color w:val="FF0000"/>
        </w:rPr>
        <w:t xml:space="preserve">okine as a potential biomarker and key </w:t>
      </w:r>
      <w:r w:rsidR="00D969EE">
        <w:rPr>
          <w:color w:val="FF0000"/>
        </w:rPr>
        <w:t>player</w:t>
      </w:r>
      <w:r w:rsidR="000D687F">
        <w:rPr>
          <w:color w:val="FF0000"/>
        </w:rPr>
        <w:t xml:space="preserve"> in</w:t>
      </w:r>
      <w:r w:rsidR="00D969EE">
        <w:rPr>
          <w:color w:val="FF0000"/>
        </w:rPr>
        <w:t xml:space="preserve"> </w:t>
      </w:r>
      <w:r w:rsidR="00244CE8">
        <w:rPr>
          <w:color w:val="FF0000"/>
        </w:rPr>
        <w:t xml:space="preserve">the initiation and progression of </w:t>
      </w:r>
      <w:r w:rsidR="00BE0E21">
        <w:rPr>
          <w:color w:val="FF0000"/>
        </w:rPr>
        <w:t xml:space="preserve">joint </w:t>
      </w:r>
      <w:r w:rsidR="00D969EE">
        <w:rPr>
          <w:color w:val="FF0000"/>
        </w:rPr>
        <w:t xml:space="preserve">inflammation </w:t>
      </w:r>
      <w:r w:rsidR="000D687F">
        <w:rPr>
          <w:color w:val="FF0000"/>
        </w:rPr>
        <w:t>\parencite{</w:t>
      </w:r>
      <w:r w:rsidR="000D399D">
        <w:rPr>
          <w:color w:val="FF0000"/>
        </w:rPr>
        <w:t>Abji2016</w:t>
      </w:r>
      <w:r w:rsidR="000D687F">
        <w:rPr>
          <w:color w:val="FF0000"/>
        </w:rPr>
        <w:t>}.</w:t>
      </w:r>
    </w:p>
    <w:bookmarkEnd w:id="1"/>
    <w:p w14:paraId="6FE1F2EA" w14:textId="77777777" w:rsidR="00BE0E21" w:rsidRDefault="00BE0E21" w:rsidP="0052371D">
      <w:pPr>
        <w:rPr>
          <w:color w:val="FF0000"/>
        </w:rPr>
      </w:pPr>
    </w:p>
    <w:p w14:paraId="15787C54" w14:textId="521F755C" w:rsidR="00C35702" w:rsidRDefault="00C35702" w:rsidP="0052371D">
      <w:pPr>
        <w:rPr>
          <w:color w:val="FF0000"/>
        </w:rPr>
      </w:pPr>
      <w:r>
        <w:rPr>
          <w:rFonts w:ascii="Arial" w:hAnsi="Arial" w:cs="Arial"/>
          <w:color w:val="1C1D1E"/>
          <w:shd w:val="clear" w:color="auto" w:fill="FFFFFF"/>
        </w:rPr>
        <w:t>CXCL10 is secreted by lymphocytes, monocytes, keratinocytes, fibroblasts, and endothelial cells in response to interferon</w:t>
      </w:r>
      <w:r>
        <w:rPr>
          <w:rFonts w:ascii="Cambria Math" w:hAnsi="Cambria Math" w:cs="Cambria Math"/>
          <w:color w:val="1C1D1E"/>
          <w:shd w:val="clear" w:color="auto" w:fill="FFFFFF"/>
        </w:rPr>
        <w:t>‐</w:t>
      </w:r>
      <w:r>
        <w:rPr>
          <w:rFonts w:ascii="Arial" w:hAnsi="Arial" w:cs="Arial"/>
          <w:color w:val="1C1D1E"/>
          <w:shd w:val="clear" w:color="auto" w:fill="FFFFFF"/>
        </w:rPr>
        <w:t>γ (IFNγ) and tumor necrosis factor. CXCL10 functions primarily in recruiting leukocytes such as T cells, eosinophils, monocytes, and natural killer cells to sites of inflammation, and also has angiostatic properties </w:t>
      </w:r>
      <w:hyperlink r:id="rId6" w:anchor="art39800-bib-0005" w:history="1">
        <w:r>
          <w:rPr>
            <w:rStyle w:val="Hyperlink"/>
            <w:rFonts w:ascii="Arial" w:hAnsi="Arial" w:cs="Arial"/>
            <w:color w:val="005293"/>
          </w:rPr>
          <w:t>5</w:t>
        </w:r>
      </w:hyperlink>
      <w:r>
        <w:rPr>
          <w:rFonts w:ascii="Arial" w:hAnsi="Arial" w:cs="Arial"/>
          <w:color w:val="1C1D1E"/>
          <w:shd w:val="clear" w:color="auto" w:fill="FFFFFF"/>
        </w:rPr>
        <w:t>.</w:t>
      </w:r>
    </w:p>
    <w:p w14:paraId="4AD54A79" w14:textId="5D59C33E" w:rsidR="008672CD" w:rsidRDefault="008672CD" w:rsidP="0052371D">
      <w:pPr>
        <w:rPr>
          <w:color w:val="FF0000"/>
        </w:rPr>
      </w:pPr>
      <w:r>
        <w:rPr>
          <w:color w:val="FF0000"/>
        </w:rPr>
        <w:t>-marker for PsA</w:t>
      </w:r>
    </w:p>
    <w:p w14:paraId="57A3F777" w14:textId="79465F08" w:rsidR="008672CD" w:rsidRDefault="008672CD" w:rsidP="0052371D">
      <w:pPr>
        <w:rPr>
          <w:color w:val="FF0000"/>
        </w:rPr>
      </w:pPr>
      <w:r>
        <w:rPr>
          <w:color w:val="FF0000"/>
        </w:rPr>
        <w:t>-skin?</w:t>
      </w:r>
    </w:p>
    <w:p w14:paraId="1BB8A46E" w14:textId="04285637" w:rsidR="008672CD" w:rsidRPr="00B81F73" w:rsidRDefault="008672CD" w:rsidP="0052371D">
      <w:pPr>
        <w:rPr>
          <w:color w:val="FF0000"/>
        </w:rPr>
      </w:pPr>
      <w:r>
        <w:rPr>
          <w:color w:val="FF0000"/>
        </w:rPr>
        <w:t>-observation in PB</w:t>
      </w:r>
    </w:p>
    <w:p w14:paraId="3FC4EEEB" w14:textId="010E7AEE" w:rsidR="00A8539D" w:rsidRDefault="00A8539D" w:rsidP="0052371D"/>
    <w:p w14:paraId="0D5DBA4F" w14:textId="77777777" w:rsidR="005E0D81" w:rsidRDefault="005E0D81" w:rsidP="005E0D81"/>
    <w:p w14:paraId="10D56B55" w14:textId="77777777" w:rsidR="005E0D81" w:rsidRDefault="005E0D81" w:rsidP="005E0D81"/>
    <w:p w14:paraId="66834D7B" w14:textId="0CD6139E" w:rsidR="005E0D81" w:rsidRDefault="005E0D81" w:rsidP="005E0D81">
      <w:r>
        <w:t>\subsection{</w:t>
      </w:r>
      <w:r w:rsidR="00530FD5">
        <w:t>Limitations of the study</w:t>
      </w:r>
      <w:r>
        <w:t>}</w:t>
      </w:r>
    </w:p>
    <w:p w14:paraId="56404AF6" w14:textId="77777777" w:rsidR="005E0D81" w:rsidRDefault="005E0D81" w:rsidP="005E0D81">
      <w:r>
        <w:t>\label{Discussion_scRNAseq}</w:t>
      </w:r>
    </w:p>
    <w:p w14:paraId="7B88B30E" w14:textId="77777777" w:rsidR="005E0D81" w:rsidRDefault="005E0D81" w:rsidP="005E0D81"/>
    <w:p w14:paraId="464A0B4F" w14:textId="2C7E1892" w:rsidR="005E0D81" w:rsidRDefault="005E0D81" w:rsidP="005E0D81">
      <w:r>
        <w:t>The work presented in this chapter is an exploratory study a</w:t>
      </w:r>
      <w:r w:rsidR="00E94B52">
        <w:t xml:space="preserve">nd a proof of principle for the </w:t>
      </w:r>
      <w:r>
        <w:t>implementation of a multi-omics approach</w:t>
      </w:r>
      <w:r w:rsidR="00E34CFD">
        <w:t xml:space="preserve"> in PsA clinical samples from affected joints</w:t>
      </w:r>
      <w:r>
        <w:t xml:space="preserve">, a very powerful strategy to dissect disease pathophysiology in a cell type specific manner. Nevertheless, a number of limitations and challenges were encountered and need to be taken into account to contextualise these results. </w:t>
      </w:r>
      <w:r w:rsidR="00E34CFD">
        <w:t>The small</w:t>
      </w:r>
      <w:r>
        <w:t xml:space="preserve"> sample size (n=3) and the lack of paired data across all the techniques </w:t>
      </w:r>
      <w:r w:rsidR="00E34CFD">
        <w:t>represent one of the limitations</w:t>
      </w:r>
      <w:r>
        <w:t xml:space="preserve">. </w:t>
      </w:r>
      <w:r w:rsidR="00676619">
        <w:t xml:space="preserve">Moreover, </w:t>
      </w:r>
      <w:r w:rsidR="00765976">
        <w:t xml:space="preserve">RNA-seq would allow a genome-wide overview of transcriptomic differences </w:t>
      </w:r>
      <w:r w:rsidR="00676619">
        <w:t xml:space="preserve">between tissues </w:t>
      </w:r>
      <w:r w:rsidR="00765976">
        <w:t xml:space="preserve">and the identification of </w:t>
      </w:r>
      <w:r w:rsidR="00676619">
        <w:t>additional</w:t>
      </w:r>
      <w:r w:rsidR="00765976">
        <w:t xml:space="preserve"> cell type specific relevant pathways that have not yet been unveiled by the </w:t>
      </w:r>
      <w:r w:rsidR="0090446C">
        <w:t>set of genes interrogated in the qPCR array</w:t>
      </w:r>
      <w:r w:rsidR="00765976">
        <w:t xml:space="preserve">. </w:t>
      </w:r>
      <w:r w:rsidR="0090446C">
        <w:t>Importantly, this</w:t>
      </w:r>
      <w:r>
        <w:t xml:space="preserve"> study </w:t>
      </w:r>
      <w:r w:rsidR="0079631B">
        <w:t>lacks of</w:t>
      </w:r>
      <w:r w:rsidR="00412F80">
        <w:t xml:space="preserve"> additional controls, including</w:t>
      </w:r>
      <w:r>
        <w:t xml:space="preserve"> peripheral blood from healthy </w:t>
      </w:r>
      <w:r w:rsidR="009D4FAB">
        <w:t>individuals</w:t>
      </w:r>
      <w:r>
        <w:t xml:space="preserve"> or synovial fluid from another autoimmune or non-inflammatory joint disease</w:t>
      </w:r>
      <w:r w:rsidR="0079631B">
        <w:t>, as incorporated</w:t>
      </w:r>
      <w:r w:rsidR="00412F80">
        <w:t xml:space="preserve"> by other</w:t>
      </w:r>
      <w:r>
        <w:t xml:space="preserve"> studies \parencite{Fumitaka2018, Dolcino2015,Zhang2018}</w:t>
      </w:r>
      <w:r w:rsidR="00533977">
        <w:t xml:space="preserve">. This would allow </w:t>
      </w:r>
      <w:r w:rsidR="0090446C">
        <w:t>pinpointing</w:t>
      </w:r>
      <w:r w:rsidR="009D4FAB">
        <w:t xml:space="preserve"> changes in</w:t>
      </w:r>
      <w:r w:rsidR="00422BD3">
        <w:t xml:space="preserve"> chromatin</w:t>
      </w:r>
      <w:r w:rsidR="00887C4C">
        <w:t xml:space="preserve"> accessibility, </w:t>
      </w:r>
      <w:r w:rsidR="00E94B52">
        <w:t>transcriptomic</w:t>
      </w:r>
      <w:r w:rsidR="00887C4C">
        <w:t xml:space="preserve"> and protein expression </w:t>
      </w:r>
      <w:r w:rsidR="006D2ABC">
        <w:t xml:space="preserve">specific for the PsA inflamed </w:t>
      </w:r>
      <w:r w:rsidR="00752A33">
        <w:t xml:space="preserve">synovium and will be </w:t>
      </w:r>
      <w:r w:rsidR="000835B7">
        <w:t xml:space="preserve">conducted in the next </w:t>
      </w:r>
      <w:r w:rsidR="00752A33">
        <w:t>stages</w:t>
      </w:r>
      <w:r w:rsidR="000835B7">
        <w:t xml:space="preserve"> of the project.</w:t>
      </w:r>
    </w:p>
    <w:p w14:paraId="7AEE9515" w14:textId="58F825CC" w:rsidR="00673EEB" w:rsidRDefault="005E0D81" w:rsidP="005E0D81">
      <w:r>
        <w:t xml:space="preserve">Another challenge in this study relates to the analysis and integration of scRNA-seq and mass cytometry data. Both techniques still represent emerging </w:t>
      </w:r>
      <w:r w:rsidR="00E94B52">
        <w:t>fields</w:t>
      </w:r>
      <w:r>
        <w:t xml:space="preserve"> </w:t>
      </w:r>
      <w:r w:rsidR="00E94B52">
        <w:t>where there is no</w:t>
      </w:r>
      <w:r w:rsidR="006D2ABC">
        <w:t xml:space="preserve"> “gold” standard on the</w:t>
      </w:r>
      <w:r>
        <w:t xml:space="preserve"> strategy </w:t>
      </w:r>
      <w:r>
        <w:lastRenderedPageBreak/>
        <w:t>to combine samples a</w:t>
      </w:r>
      <w:r w:rsidR="00EB054F">
        <w:t xml:space="preserve">cross patients </w:t>
      </w:r>
      <w:r w:rsidR="00E94B52">
        <w:t>to account</w:t>
      </w:r>
      <w:r w:rsidR="00EB054F">
        <w:t xml:space="preserve"> for batch effect </w:t>
      </w:r>
      <w:r w:rsidR="00CE3072">
        <w:t>or</w:t>
      </w:r>
      <w:r w:rsidR="00EB054F">
        <w:t xml:space="preserve"> </w:t>
      </w:r>
      <w:r w:rsidR="00CE3072">
        <w:t xml:space="preserve">in </w:t>
      </w:r>
      <w:r w:rsidR="00EB054F">
        <w:t>downstream data analysis</w:t>
      </w:r>
      <w:r>
        <w:t>. In this exploratory study, monocytes were identified from each SFMCs and PBMCs scRNA-seq sample and combined using CCA for further subpopulation identification</w:t>
      </w:r>
      <w:r w:rsidR="00460DD1">
        <w:t xml:space="preserve">, which compared to other </w:t>
      </w:r>
      <w:r w:rsidR="00447751">
        <w:t>methods</w:t>
      </w:r>
      <w:r w:rsidR="00460DD1">
        <w:t xml:space="preserve"> of merging and normal</w:t>
      </w:r>
      <w:r w:rsidR="00447751">
        <w:t>is</w:t>
      </w:r>
      <w:r w:rsidR="00460DD1">
        <w:t>ing data preserves smaller differences between samples</w:t>
      </w:r>
      <w:r>
        <w:t xml:space="preserve">. </w:t>
      </w:r>
      <w:r w:rsidR="0099534F">
        <w:t>Cluster identification is another sensitive aspect in scRNA</w:t>
      </w:r>
      <w:r w:rsidR="00BD6CEA">
        <w:t xml:space="preserve">-seq data analysis and standard algorithms incorporated in </w:t>
      </w:r>
      <w:r w:rsidR="00B466C5">
        <w:t xml:space="preserve">Seurat failed to identify robust subpopulations of monocytes </w:t>
      </w:r>
      <w:r w:rsidR="00BD6CEA">
        <w:t>in the combined tissuesin this particular data</w:t>
      </w:r>
      <w:r w:rsidR="003846AC">
        <w:t>.</w:t>
      </w:r>
      <w:r>
        <w:t xml:space="preserve"> This may be the </w:t>
      </w:r>
      <w:r w:rsidR="00CE3072">
        <w:t xml:space="preserve">result of </w:t>
      </w:r>
      <w:r w:rsidR="00D67B3F">
        <w:t xml:space="preserve">the </w:t>
      </w:r>
      <w:r w:rsidR="00CE3072">
        <w:t>differences between</w:t>
      </w:r>
      <w:r w:rsidR="00D67B3F">
        <w:t xml:space="preserve"> monocytes of synovial fluid and peripheral blood being larger than the</w:t>
      </w:r>
      <w:r w:rsidR="00CE3072">
        <w:t xml:space="preserve"> variability </w:t>
      </w:r>
      <w:r w:rsidR="006D731E">
        <w:t>expected by the clustering algorithm</w:t>
      </w:r>
      <w:r>
        <w:t xml:space="preserve">, and </w:t>
      </w:r>
      <w:r w:rsidR="003846AC">
        <w:t xml:space="preserve">therefore </w:t>
      </w:r>
      <w:r>
        <w:t xml:space="preserve">alternative methods </w:t>
      </w:r>
      <w:r w:rsidR="003846AC">
        <w:t xml:space="preserve">for identifying clusters in monocytes from the combined tissues </w:t>
      </w:r>
      <w:r>
        <w:t xml:space="preserve">should be investigated. </w:t>
      </w:r>
      <w:r w:rsidR="00E10A14">
        <w:t>The</w:t>
      </w:r>
      <w:r>
        <w:t xml:space="preserve"> identification of robust and stable subpopulations through cluster analysis will </w:t>
      </w:r>
      <w:r w:rsidR="00E65285">
        <w:t xml:space="preserve">also </w:t>
      </w:r>
      <w:r>
        <w:t xml:space="preserve">benefit from the implementation of algorithms designed for cluster validation such as Silhouettes, which has recently been used successfully in the field of single-cell \parencite{Rousseeuw1987, Zhang2018}. </w:t>
      </w:r>
      <w:r w:rsidR="00166846">
        <w:t xml:space="preserve">Moreover, </w:t>
      </w:r>
      <w:r w:rsidR="00B1098A">
        <w:t xml:space="preserve">incorporating RNA-seq from </w:t>
      </w:r>
      <w:r>
        <w:t xml:space="preserve">CD14$^+$ monocytes </w:t>
      </w:r>
      <w:r w:rsidR="00B1098A">
        <w:t>will</w:t>
      </w:r>
      <w:r w:rsidR="00166846">
        <w:t xml:space="preserve"> help</w:t>
      </w:r>
      <w:r>
        <w:t xml:space="preserve"> </w:t>
      </w:r>
      <w:r w:rsidR="00B1098A">
        <w:t xml:space="preserve">in the </w:t>
      </w:r>
      <w:r>
        <w:t xml:space="preserve">interpretation and validation of the scRNA-seq results. </w:t>
      </w:r>
      <w:r w:rsidR="00B1098A">
        <w:t>Similarly</w:t>
      </w:r>
      <w:r>
        <w:t xml:space="preserve">, different methodologies for cluster identification and annotation </w:t>
      </w:r>
      <w:r w:rsidR="0061159D">
        <w:t xml:space="preserve">in mass cytometry </w:t>
      </w:r>
      <w:r>
        <w:t xml:space="preserve">are being explored and </w:t>
      </w:r>
      <w:r w:rsidR="00631EC7">
        <w:t xml:space="preserve">additional data analysis is in progress to identify </w:t>
      </w:r>
      <w:r w:rsidR="00EB708B">
        <w:t xml:space="preserve">distinct </w:t>
      </w:r>
      <w:r w:rsidR="00631EC7">
        <w:t xml:space="preserve">subpopulations </w:t>
      </w:r>
      <w:r w:rsidR="00EB708B">
        <w:t xml:space="preserve">of monocytes </w:t>
      </w:r>
      <w:r w:rsidR="00631EC7">
        <w:t xml:space="preserve">based on cytokine and chemokine </w:t>
      </w:r>
      <w:r w:rsidR="00EB708B">
        <w:t>expression.</w:t>
      </w:r>
      <w:r w:rsidR="00631EC7">
        <w:t xml:space="preserve"> </w:t>
      </w:r>
      <w:r>
        <w:t xml:space="preserve">In terms of data integration, this pilot study used relatively simplistic multi-omics </w:t>
      </w:r>
      <w:r w:rsidR="0061159D">
        <w:t>integration,</w:t>
      </w:r>
      <w:r>
        <w:t xml:space="preserve"> limited by sample size, technical aspects and time scale, </w:t>
      </w:r>
      <w:r w:rsidR="0061159D">
        <w:t>providing</w:t>
      </w:r>
      <w:r>
        <w:t xml:space="preserve"> a platfor</w:t>
      </w:r>
      <w:r w:rsidR="002D0F1B">
        <w:t xml:space="preserve">m for future validation studies, which will benefit of </w:t>
      </w:r>
      <w:r w:rsidR="00752A33">
        <w:t>a more systematic approach.</w:t>
      </w:r>
    </w:p>
    <w:p w14:paraId="6F7445FF" w14:textId="77777777" w:rsidR="009A1968" w:rsidRDefault="009A1968" w:rsidP="00A3387C"/>
    <w:p w14:paraId="6929AA51" w14:textId="77777777" w:rsidR="009A1968" w:rsidRDefault="009A1968" w:rsidP="00A3387C"/>
    <w:p w14:paraId="30252448" w14:textId="77777777" w:rsidR="0005317D" w:rsidRDefault="0005317D" w:rsidP="0005317D"/>
    <w:p w14:paraId="33577A32" w14:textId="3DF7A642" w:rsidR="0005317D" w:rsidRDefault="0005317D" w:rsidP="00460C45"/>
    <w:sectPr w:rsidR="0005317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18-12-20T22:19:00Z" w:initials="MOU">
    <w:p w14:paraId="0025DBD9" w14:textId="77777777" w:rsidR="00530B5F" w:rsidRDefault="00530B5F" w:rsidP="00530B5F">
      <w:pPr>
        <w:pStyle w:val="CommentText"/>
      </w:pPr>
      <w:r>
        <w:rPr>
          <w:rStyle w:val="CommentReference"/>
        </w:rPr>
        <w:annotationRef/>
      </w:r>
      <w:r>
        <w:t>Reduce length by ~30%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25DB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6B"/>
    <w:rsid w:val="00003634"/>
    <w:rsid w:val="00006E9E"/>
    <w:rsid w:val="00016C7A"/>
    <w:rsid w:val="00016E6E"/>
    <w:rsid w:val="00020302"/>
    <w:rsid w:val="00020C96"/>
    <w:rsid w:val="00033759"/>
    <w:rsid w:val="00035728"/>
    <w:rsid w:val="000377A1"/>
    <w:rsid w:val="00043677"/>
    <w:rsid w:val="00052CF5"/>
    <w:rsid w:val="0005317D"/>
    <w:rsid w:val="00060128"/>
    <w:rsid w:val="00061991"/>
    <w:rsid w:val="000706D1"/>
    <w:rsid w:val="00072296"/>
    <w:rsid w:val="000816AC"/>
    <w:rsid w:val="000835B7"/>
    <w:rsid w:val="000930C6"/>
    <w:rsid w:val="0009367D"/>
    <w:rsid w:val="00094025"/>
    <w:rsid w:val="00094258"/>
    <w:rsid w:val="00097619"/>
    <w:rsid w:val="000B1C85"/>
    <w:rsid w:val="000B3470"/>
    <w:rsid w:val="000C4DA5"/>
    <w:rsid w:val="000D399D"/>
    <w:rsid w:val="000D47BB"/>
    <w:rsid w:val="000D59B3"/>
    <w:rsid w:val="000D687F"/>
    <w:rsid w:val="000E0FB6"/>
    <w:rsid w:val="000F219C"/>
    <w:rsid w:val="000F21C4"/>
    <w:rsid w:val="001020A7"/>
    <w:rsid w:val="001121E4"/>
    <w:rsid w:val="00114F78"/>
    <w:rsid w:val="00120982"/>
    <w:rsid w:val="0012167A"/>
    <w:rsid w:val="00124919"/>
    <w:rsid w:val="00126737"/>
    <w:rsid w:val="001303ED"/>
    <w:rsid w:val="00136F79"/>
    <w:rsid w:val="001427F5"/>
    <w:rsid w:val="00145118"/>
    <w:rsid w:val="00151A76"/>
    <w:rsid w:val="00151EDF"/>
    <w:rsid w:val="001574BD"/>
    <w:rsid w:val="001600DF"/>
    <w:rsid w:val="00166846"/>
    <w:rsid w:val="00170F96"/>
    <w:rsid w:val="00172A29"/>
    <w:rsid w:val="00173630"/>
    <w:rsid w:val="001801A8"/>
    <w:rsid w:val="001804D9"/>
    <w:rsid w:val="001817EB"/>
    <w:rsid w:val="0018339F"/>
    <w:rsid w:val="001845B9"/>
    <w:rsid w:val="00184F48"/>
    <w:rsid w:val="00197AD2"/>
    <w:rsid w:val="001A716D"/>
    <w:rsid w:val="001C2D6C"/>
    <w:rsid w:val="001C3169"/>
    <w:rsid w:val="001D7405"/>
    <w:rsid w:val="001E4FA8"/>
    <w:rsid w:val="001E6B4B"/>
    <w:rsid w:val="001F1EE4"/>
    <w:rsid w:val="001F658C"/>
    <w:rsid w:val="0021011A"/>
    <w:rsid w:val="002161D3"/>
    <w:rsid w:val="002209DF"/>
    <w:rsid w:val="00221E0B"/>
    <w:rsid w:val="00225A4D"/>
    <w:rsid w:val="002301F9"/>
    <w:rsid w:val="00233805"/>
    <w:rsid w:val="00241A06"/>
    <w:rsid w:val="00243778"/>
    <w:rsid w:val="00244CE8"/>
    <w:rsid w:val="0024792E"/>
    <w:rsid w:val="0025003C"/>
    <w:rsid w:val="002504AA"/>
    <w:rsid w:val="002509EF"/>
    <w:rsid w:val="0025347B"/>
    <w:rsid w:val="00262494"/>
    <w:rsid w:val="00264AB5"/>
    <w:rsid w:val="00270F82"/>
    <w:rsid w:val="00271367"/>
    <w:rsid w:val="00274267"/>
    <w:rsid w:val="00275390"/>
    <w:rsid w:val="0027697F"/>
    <w:rsid w:val="002816EA"/>
    <w:rsid w:val="00283276"/>
    <w:rsid w:val="00284CFE"/>
    <w:rsid w:val="002864F4"/>
    <w:rsid w:val="002907CC"/>
    <w:rsid w:val="00291A53"/>
    <w:rsid w:val="0029287A"/>
    <w:rsid w:val="00294CE2"/>
    <w:rsid w:val="0029720B"/>
    <w:rsid w:val="0029735B"/>
    <w:rsid w:val="002A1BC7"/>
    <w:rsid w:val="002A7E32"/>
    <w:rsid w:val="002B04DA"/>
    <w:rsid w:val="002B2E4B"/>
    <w:rsid w:val="002B3599"/>
    <w:rsid w:val="002B4538"/>
    <w:rsid w:val="002C590C"/>
    <w:rsid w:val="002C5D44"/>
    <w:rsid w:val="002D0F1B"/>
    <w:rsid w:val="002D40A7"/>
    <w:rsid w:val="002D47F8"/>
    <w:rsid w:val="002E0FA5"/>
    <w:rsid w:val="002E4938"/>
    <w:rsid w:val="002E5A32"/>
    <w:rsid w:val="002E7D6A"/>
    <w:rsid w:val="002F0A74"/>
    <w:rsid w:val="002F44E1"/>
    <w:rsid w:val="00306F35"/>
    <w:rsid w:val="00311BDB"/>
    <w:rsid w:val="0031754D"/>
    <w:rsid w:val="00320027"/>
    <w:rsid w:val="003313DC"/>
    <w:rsid w:val="00331D22"/>
    <w:rsid w:val="00331D9C"/>
    <w:rsid w:val="003360D2"/>
    <w:rsid w:val="0034485C"/>
    <w:rsid w:val="00345CF6"/>
    <w:rsid w:val="003505C3"/>
    <w:rsid w:val="00350CEA"/>
    <w:rsid w:val="003610A0"/>
    <w:rsid w:val="003642D3"/>
    <w:rsid w:val="0036640B"/>
    <w:rsid w:val="003664AE"/>
    <w:rsid w:val="00367930"/>
    <w:rsid w:val="003703D6"/>
    <w:rsid w:val="003745AF"/>
    <w:rsid w:val="003846AC"/>
    <w:rsid w:val="00386616"/>
    <w:rsid w:val="00392060"/>
    <w:rsid w:val="003954FE"/>
    <w:rsid w:val="00397157"/>
    <w:rsid w:val="003A0C58"/>
    <w:rsid w:val="003A2FE2"/>
    <w:rsid w:val="003B08FF"/>
    <w:rsid w:val="003B6018"/>
    <w:rsid w:val="003B7D40"/>
    <w:rsid w:val="003C14B3"/>
    <w:rsid w:val="003C479F"/>
    <w:rsid w:val="003C5ECB"/>
    <w:rsid w:val="003C7842"/>
    <w:rsid w:val="003C7E1A"/>
    <w:rsid w:val="003D4125"/>
    <w:rsid w:val="003D5A38"/>
    <w:rsid w:val="003E138D"/>
    <w:rsid w:val="003E4FC4"/>
    <w:rsid w:val="003F0A9F"/>
    <w:rsid w:val="003F1577"/>
    <w:rsid w:val="003F1681"/>
    <w:rsid w:val="003F3FBA"/>
    <w:rsid w:val="003F53C9"/>
    <w:rsid w:val="004046CD"/>
    <w:rsid w:val="00410B55"/>
    <w:rsid w:val="00412F80"/>
    <w:rsid w:val="0041335A"/>
    <w:rsid w:val="004156B9"/>
    <w:rsid w:val="00415BA2"/>
    <w:rsid w:val="00416187"/>
    <w:rsid w:val="00417319"/>
    <w:rsid w:val="00420A02"/>
    <w:rsid w:val="00422BD3"/>
    <w:rsid w:val="0043099C"/>
    <w:rsid w:val="004352D6"/>
    <w:rsid w:val="004353AE"/>
    <w:rsid w:val="00440F4A"/>
    <w:rsid w:val="004436BD"/>
    <w:rsid w:val="004459F8"/>
    <w:rsid w:val="004469DB"/>
    <w:rsid w:val="00446CAA"/>
    <w:rsid w:val="00447751"/>
    <w:rsid w:val="004507C4"/>
    <w:rsid w:val="0045139E"/>
    <w:rsid w:val="004515F1"/>
    <w:rsid w:val="00460C45"/>
    <w:rsid w:val="00460DD1"/>
    <w:rsid w:val="00463607"/>
    <w:rsid w:val="00471173"/>
    <w:rsid w:val="00472314"/>
    <w:rsid w:val="00481221"/>
    <w:rsid w:val="004817F5"/>
    <w:rsid w:val="00482591"/>
    <w:rsid w:val="00490078"/>
    <w:rsid w:val="004956FB"/>
    <w:rsid w:val="00497D70"/>
    <w:rsid w:val="004A09A1"/>
    <w:rsid w:val="004A45A7"/>
    <w:rsid w:val="004A5A31"/>
    <w:rsid w:val="004A6354"/>
    <w:rsid w:val="004A6E41"/>
    <w:rsid w:val="004B68A5"/>
    <w:rsid w:val="004C3811"/>
    <w:rsid w:val="004D4572"/>
    <w:rsid w:val="004D518B"/>
    <w:rsid w:val="004D6A3E"/>
    <w:rsid w:val="004E0457"/>
    <w:rsid w:val="004E2258"/>
    <w:rsid w:val="004E372A"/>
    <w:rsid w:val="004E43B7"/>
    <w:rsid w:val="004E5C91"/>
    <w:rsid w:val="004E6D59"/>
    <w:rsid w:val="004F4CF4"/>
    <w:rsid w:val="005056EA"/>
    <w:rsid w:val="0051568B"/>
    <w:rsid w:val="0052371D"/>
    <w:rsid w:val="00524E2D"/>
    <w:rsid w:val="00530B5F"/>
    <w:rsid w:val="00530FD5"/>
    <w:rsid w:val="00531457"/>
    <w:rsid w:val="00533977"/>
    <w:rsid w:val="00535CB5"/>
    <w:rsid w:val="00545C21"/>
    <w:rsid w:val="00550D9B"/>
    <w:rsid w:val="005576B4"/>
    <w:rsid w:val="0056775E"/>
    <w:rsid w:val="0057726B"/>
    <w:rsid w:val="00582EA2"/>
    <w:rsid w:val="00583C62"/>
    <w:rsid w:val="00585149"/>
    <w:rsid w:val="00586393"/>
    <w:rsid w:val="00586B45"/>
    <w:rsid w:val="005A0E03"/>
    <w:rsid w:val="005A67FE"/>
    <w:rsid w:val="005C493A"/>
    <w:rsid w:val="005C6D18"/>
    <w:rsid w:val="005E0D81"/>
    <w:rsid w:val="005E53A4"/>
    <w:rsid w:val="005E72F0"/>
    <w:rsid w:val="005F0BC2"/>
    <w:rsid w:val="005F31E9"/>
    <w:rsid w:val="005F625B"/>
    <w:rsid w:val="00604DF0"/>
    <w:rsid w:val="006054A3"/>
    <w:rsid w:val="00606880"/>
    <w:rsid w:val="00607712"/>
    <w:rsid w:val="0061159D"/>
    <w:rsid w:val="0062207C"/>
    <w:rsid w:val="0062221F"/>
    <w:rsid w:val="006250B5"/>
    <w:rsid w:val="00631EC7"/>
    <w:rsid w:val="00633016"/>
    <w:rsid w:val="00633488"/>
    <w:rsid w:val="00634DA4"/>
    <w:rsid w:val="00636B35"/>
    <w:rsid w:val="00640086"/>
    <w:rsid w:val="006421BE"/>
    <w:rsid w:val="0064675C"/>
    <w:rsid w:val="00653EEF"/>
    <w:rsid w:val="00654043"/>
    <w:rsid w:val="00655579"/>
    <w:rsid w:val="00662DD7"/>
    <w:rsid w:val="00663D24"/>
    <w:rsid w:val="006649B7"/>
    <w:rsid w:val="00665710"/>
    <w:rsid w:val="00665CBB"/>
    <w:rsid w:val="00673EEB"/>
    <w:rsid w:val="0067654D"/>
    <w:rsid w:val="00676619"/>
    <w:rsid w:val="00677107"/>
    <w:rsid w:val="00680613"/>
    <w:rsid w:val="00684B06"/>
    <w:rsid w:val="006907D9"/>
    <w:rsid w:val="006A236C"/>
    <w:rsid w:val="006B0C26"/>
    <w:rsid w:val="006B599D"/>
    <w:rsid w:val="006B6314"/>
    <w:rsid w:val="006B7EFD"/>
    <w:rsid w:val="006C63B3"/>
    <w:rsid w:val="006D2ABC"/>
    <w:rsid w:val="006D4E95"/>
    <w:rsid w:val="006D731E"/>
    <w:rsid w:val="006F1101"/>
    <w:rsid w:val="006F1E73"/>
    <w:rsid w:val="006F20D0"/>
    <w:rsid w:val="006F4026"/>
    <w:rsid w:val="006F4313"/>
    <w:rsid w:val="006F69BB"/>
    <w:rsid w:val="006F781E"/>
    <w:rsid w:val="0070092C"/>
    <w:rsid w:val="00714C5C"/>
    <w:rsid w:val="00715F02"/>
    <w:rsid w:val="0072148D"/>
    <w:rsid w:val="00724159"/>
    <w:rsid w:val="007272AC"/>
    <w:rsid w:val="00727937"/>
    <w:rsid w:val="00730D51"/>
    <w:rsid w:val="00731574"/>
    <w:rsid w:val="007324F6"/>
    <w:rsid w:val="00735683"/>
    <w:rsid w:val="00743823"/>
    <w:rsid w:val="00746472"/>
    <w:rsid w:val="00752A33"/>
    <w:rsid w:val="00756697"/>
    <w:rsid w:val="0075669C"/>
    <w:rsid w:val="00765976"/>
    <w:rsid w:val="007666FD"/>
    <w:rsid w:val="00767ABD"/>
    <w:rsid w:val="00770D6E"/>
    <w:rsid w:val="00781735"/>
    <w:rsid w:val="00781C25"/>
    <w:rsid w:val="00781E30"/>
    <w:rsid w:val="0078248B"/>
    <w:rsid w:val="00782A11"/>
    <w:rsid w:val="00783E6B"/>
    <w:rsid w:val="0078415A"/>
    <w:rsid w:val="0078465C"/>
    <w:rsid w:val="00786035"/>
    <w:rsid w:val="0079631B"/>
    <w:rsid w:val="007A0121"/>
    <w:rsid w:val="007A2FD9"/>
    <w:rsid w:val="007A7669"/>
    <w:rsid w:val="007B3C4A"/>
    <w:rsid w:val="007B4CC0"/>
    <w:rsid w:val="007C0E70"/>
    <w:rsid w:val="007C33AA"/>
    <w:rsid w:val="007C3ED9"/>
    <w:rsid w:val="007C411A"/>
    <w:rsid w:val="007C6301"/>
    <w:rsid w:val="007D6FC6"/>
    <w:rsid w:val="007E144F"/>
    <w:rsid w:val="007E24DE"/>
    <w:rsid w:val="007E3118"/>
    <w:rsid w:val="00801616"/>
    <w:rsid w:val="00805C6F"/>
    <w:rsid w:val="00806D26"/>
    <w:rsid w:val="008075E7"/>
    <w:rsid w:val="008148D9"/>
    <w:rsid w:val="00814BDF"/>
    <w:rsid w:val="00815591"/>
    <w:rsid w:val="00815A0E"/>
    <w:rsid w:val="00826F73"/>
    <w:rsid w:val="008411A2"/>
    <w:rsid w:val="00844BBB"/>
    <w:rsid w:val="00844EB7"/>
    <w:rsid w:val="008454FC"/>
    <w:rsid w:val="0084722A"/>
    <w:rsid w:val="008672CD"/>
    <w:rsid w:val="00870CC8"/>
    <w:rsid w:val="00873837"/>
    <w:rsid w:val="008740FF"/>
    <w:rsid w:val="00885513"/>
    <w:rsid w:val="00887C4C"/>
    <w:rsid w:val="0089375B"/>
    <w:rsid w:val="008A2C03"/>
    <w:rsid w:val="008A376A"/>
    <w:rsid w:val="008A60CB"/>
    <w:rsid w:val="008C2D70"/>
    <w:rsid w:val="008D0319"/>
    <w:rsid w:val="008D2EA7"/>
    <w:rsid w:val="008D4426"/>
    <w:rsid w:val="008D50D6"/>
    <w:rsid w:val="008E0783"/>
    <w:rsid w:val="008E2549"/>
    <w:rsid w:val="008E30D7"/>
    <w:rsid w:val="008F2C39"/>
    <w:rsid w:val="008F45C1"/>
    <w:rsid w:val="008F4754"/>
    <w:rsid w:val="00902B9F"/>
    <w:rsid w:val="0090446C"/>
    <w:rsid w:val="00907570"/>
    <w:rsid w:val="00910CD1"/>
    <w:rsid w:val="009113F7"/>
    <w:rsid w:val="00920B67"/>
    <w:rsid w:val="00923CD9"/>
    <w:rsid w:val="00926659"/>
    <w:rsid w:val="009279C8"/>
    <w:rsid w:val="00927CF6"/>
    <w:rsid w:val="00941333"/>
    <w:rsid w:val="009444CD"/>
    <w:rsid w:val="00950877"/>
    <w:rsid w:val="0095463A"/>
    <w:rsid w:val="00954C51"/>
    <w:rsid w:val="0095782B"/>
    <w:rsid w:val="00957C37"/>
    <w:rsid w:val="009653C0"/>
    <w:rsid w:val="009678C7"/>
    <w:rsid w:val="009754B7"/>
    <w:rsid w:val="0099387F"/>
    <w:rsid w:val="009941F3"/>
    <w:rsid w:val="0099534F"/>
    <w:rsid w:val="00995BF7"/>
    <w:rsid w:val="009A1296"/>
    <w:rsid w:val="009A1968"/>
    <w:rsid w:val="009B7EBA"/>
    <w:rsid w:val="009C1D38"/>
    <w:rsid w:val="009C2F7B"/>
    <w:rsid w:val="009C3E14"/>
    <w:rsid w:val="009D344F"/>
    <w:rsid w:val="009D4FAB"/>
    <w:rsid w:val="009E02A3"/>
    <w:rsid w:val="009E17F0"/>
    <w:rsid w:val="009E1DD0"/>
    <w:rsid w:val="009E424D"/>
    <w:rsid w:val="009E47C0"/>
    <w:rsid w:val="009E4CA9"/>
    <w:rsid w:val="009E68EE"/>
    <w:rsid w:val="009E6C43"/>
    <w:rsid w:val="009F0858"/>
    <w:rsid w:val="00A01411"/>
    <w:rsid w:val="00A022D0"/>
    <w:rsid w:val="00A02FE7"/>
    <w:rsid w:val="00A15956"/>
    <w:rsid w:val="00A3387C"/>
    <w:rsid w:val="00A40615"/>
    <w:rsid w:val="00A45186"/>
    <w:rsid w:val="00A451ED"/>
    <w:rsid w:val="00A46E30"/>
    <w:rsid w:val="00A477F6"/>
    <w:rsid w:val="00A52AEA"/>
    <w:rsid w:val="00A6200C"/>
    <w:rsid w:val="00A62625"/>
    <w:rsid w:val="00A63C86"/>
    <w:rsid w:val="00A66CED"/>
    <w:rsid w:val="00A73578"/>
    <w:rsid w:val="00A73AEF"/>
    <w:rsid w:val="00A75308"/>
    <w:rsid w:val="00A80770"/>
    <w:rsid w:val="00A81038"/>
    <w:rsid w:val="00A8539D"/>
    <w:rsid w:val="00A855BB"/>
    <w:rsid w:val="00A90F15"/>
    <w:rsid w:val="00AA2CD2"/>
    <w:rsid w:val="00AB0693"/>
    <w:rsid w:val="00AB5C27"/>
    <w:rsid w:val="00AC570D"/>
    <w:rsid w:val="00AC6336"/>
    <w:rsid w:val="00AC64D6"/>
    <w:rsid w:val="00AD5A37"/>
    <w:rsid w:val="00AE1032"/>
    <w:rsid w:val="00AE329E"/>
    <w:rsid w:val="00AE5078"/>
    <w:rsid w:val="00AE6459"/>
    <w:rsid w:val="00AF0F6C"/>
    <w:rsid w:val="00AF7A23"/>
    <w:rsid w:val="00B07DA7"/>
    <w:rsid w:val="00B10891"/>
    <w:rsid w:val="00B1098A"/>
    <w:rsid w:val="00B12D93"/>
    <w:rsid w:val="00B135DC"/>
    <w:rsid w:val="00B137DC"/>
    <w:rsid w:val="00B15EAC"/>
    <w:rsid w:val="00B17089"/>
    <w:rsid w:val="00B24A47"/>
    <w:rsid w:val="00B30C4A"/>
    <w:rsid w:val="00B336D3"/>
    <w:rsid w:val="00B428CE"/>
    <w:rsid w:val="00B4302C"/>
    <w:rsid w:val="00B466C5"/>
    <w:rsid w:val="00B5031A"/>
    <w:rsid w:val="00B54545"/>
    <w:rsid w:val="00B63493"/>
    <w:rsid w:val="00B63E0B"/>
    <w:rsid w:val="00B65202"/>
    <w:rsid w:val="00B65257"/>
    <w:rsid w:val="00B66697"/>
    <w:rsid w:val="00B70844"/>
    <w:rsid w:val="00B70AC5"/>
    <w:rsid w:val="00B7240E"/>
    <w:rsid w:val="00B74793"/>
    <w:rsid w:val="00B74E3D"/>
    <w:rsid w:val="00B81F73"/>
    <w:rsid w:val="00B94291"/>
    <w:rsid w:val="00B95168"/>
    <w:rsid w:val="00B95DEF"/>
    <w:rsid w:val="00B960C2"/>
    <w:rsid w:val="00BA3521"/>
    <w:rsid w:val="00BA7846"/>
    <w:rsid w:val="00BB06FD"/>
    <w:rsid w:val="00BB27C9"/>
    <w:rsid w:val="00BB6C4C"/>
    <w:rsid w:val="00BC0054"/>
    <w:rsid w:val="00BC2C7D"/>
    <w:rsid w:val="00BC518C"/>
    <w:rsid w:val="00BC7C31"/>
    <w:rsid w:val="00BD595A"/>
    <w:rsid w:val="00BD658D"/>
    <w:rsid w:val="00BD6CEA"/>
    <w:rsid w:val="00BE0E21"/>
    <w:rsid w:val="00BE43C7"/>
    <w:rsid w:val="00BE73B9"/>
    <w:rsid w:val="00BF18A3"/>
    <w:rsid w:val="00BF4A2C"/>
    <w:rsid w:val="00BF7B74"/>
    <w:rsid w:val="00C015FE"/>
    <w:rsid w:val="00C02917"/>
    <w:rsid w:val="00C04802"/>
    <w:rsid w:val="00C05AC0"/>
    <w:rsid w:val="00C12407"/>
    <w:rsid w:val="00C12A9E"/>
    <w:rsid w:val="00C177B2"/>
    <w:rsid w:val="00C2263F"/>
    <w:rsid w:val="00C23E4C"/>
    <w:rsid w:val="00C25F43"/>
    <w:rsid w:val="00C31939"/>
    <w:rsid w:val="00C35702"/>
    <w:rsid w:val="00C357AE"/>
    <w:rsid w:val="00C3725E"/>
    <w:rsid w:val="00C40BC0"/>
    <w:rsid w:val="00C40CE4"/>
    <w:rsid w:val="00C4433A"/>
    <w:rsid w:val="00C46ABC"/>
    <w:rsid w:val="00C46CA5"/>
    <w:rsid w:val="00C50F37"/>
    <w:rsid w:val="00C52B7C"/>
    <w:rsid w:val="00C53195"/>
    <w:rsid w:val="00C56C6C"/>
    <w:rsid w:val="00C626FF"/>
    <w:rsid w:val="00C63C5C"/>
    <w:rsid w:val="00C647A5"/>
    <w:rsid w:val="00C713B8"/>
    <w:rsid w:val="00C74045"/>
    <w:rsid w:val="00C77316"/>
    <w:rsid w:val="00C8625F"/>
    <w:rsid w:val="00C90B5D"/>
    <w:rsid w:val="00C9152F"/>
    <w:rsid w:val="00C94F02"/>
    <w:rsid w:val="00C96722"/>
    <w:rsid w:val="00CA1F1A"/>
    <w:rsid w:val="00CA2A76"/>
    <w:rsid w:val="00CA3286"/>
    <w:rsid w:val="00CA36FA"/>
    <w:rsid w:val="00CB39C7"/>
    <w:rsid w:val="00CC070F"/>
    <w:rsid w:val="00CC1337"/>
    <w:rsid w:val="00CD1411"/>
    <w:rsid w:val="00CD3586"/>
    <w:rsid w:val="00CD50D6"/>
    <w:rsid w:val="00CD5943"/>
    <w:rsid w:val="00CE0245"/>
    <w:rsid w:val="00CE2C93"/>
    <w:rsid w:val="00CE3072"/>
    <w:rsid w:val="00CE5F2A"/>
    <w:rsid w:val="00CE75DD"/>
    <w:rsid w:val="00CE7612"/>
    <w:rsid w:val="00CE77BE"/>
    <w:rsid w:val="00CF000B"/>
    <w:rsid w:val="00CF6652"/>
    <w:rsid w:val="00CF7760"/>
    <w:rsid w:val="00D026F2"/>
    <w:rsid w:val="00D07BAE"/>
    <w:rsid w:val="00D11FF3"/>
    <w:rsid w:val="00D22F7C"/>
    <w:rsid w:val="00D24AF8"/>
    <w:rsid w:val="00D31684"/>
    <w:rsid w:val="00D34DAD"/>
    <w:rsid w:val="00D352F3"/>
    <w:rsid w:val="00D46EEB"/>
    <w:rsid w:val="00D47736"/>
    <w:rsid w:val="00D47B1B"/>
    <w:rsid w:val="00D53833"/>
    <w:rsid w:val="00D61F55"/>
    <w:rsid w:val="00D67B3F"/>
    <w:rsid w:val="00D71661"/>
    <w:rsid w:val="00D7195B"/>
    <w:rsid w:val="00D72164"/>
    <w:rsid w:val="00D7492D"/>
    <w:rsid w:val="00D74B0D"/>
    <w:rsid w:val="00D751D5"/>
    <w:rsid w:val="00D7547E"/>
    <w:rsid w:val="00D77430"/>
    <w:rsid w:val="00D80672"/>
    <w:rsid w:val="00D815B0"/>
    <w:rsid w:val="00D81F47"/>
    <w:rsid w:val="00D96132"/>
    <w:rsid w:val="00D969EE"/>
    <w:rsid w:val="00DA0D90"/>
    <w:rsid w:val="00DA2FF9"/>
    <w:rsid w:val="00DC0A82"/>
    <w:rsid w:val="00DC14DB"/>
    <w:rsid w:val="00DC4E1A"/>
    <w:rsid w:val="00DC72D0"/>
    <w:rsid w:val="00DD0B20"/>
    <w:rsid w:val="00DD62B4"/>
    <w:rsid w:val="00DE237D"/>
    <w:rsid w:val="00DE29A3"/>
    <w:rsid w:val="00E020DA"/>
    <w:rsid w:val="00E04D49"/>
    <w:rsid w:val="00E06400"/>
    <w:rsid w:val="00E10A14"/>
    <w:rsid w:val="00E21ADF"/>
    <w:rsid w:val="00E2318D"/>
    <w:rsid w:val="00E261EC"/>
    <w:rsid w:val="00E34CFD"/>
    <w:rsid w:val="00E4045F"/>
    <w:rsid w:val="00E413E4"/>
    <w:rsid w:val="00E4717F"/>
    <w:rsid w:val="00E60401"/>
    <w:rsid w:val="00E63D22"/>
    <w:rsid w:val="00E65285"/>
    <w:rsid w:val="00E6730D"/>
    <w:rsid w:val="00E67E99"/>
    <w:rsid w:val="00E73007"/>
    <w:rsid w:val="00E73B67"/>
    <w:rsid w:val="00E7439E"/>
    <w:rsid w:val="00E76AC3"/>
    <w:rsid w:val="00E80440"/>
    <w:rsid w:val="00E82BAA"/>
    <w:rsid w:val="00E83C4C"/>
    <w:rsid w:val="00E83E10"/>
    <w:rsid w:val="00E83F0C"/>
    <w:rsid w:val="00E84868"/>
    <w:rsid w:val="00E84AB1"/>
    <w:rsid w:val="00E92609"/>
    <w:rsid w:val="00E92CC0"/>
    <w:rsid w:val="00E94B52"/>
    <w:rsid w:val="00E96738"/>
    <w:rsid w:val="00EA1A0F"/>
    <w:rsid w:val="00EA2BDD"/>
    <w:rsid w:val="00EA398B"/>
    <w:rsid w:val="00EA3F99"/>
    <w:rsid w:val="00EA4AB3"/>
    <w:rsid w:val="00EB054F"/>
    <w:rsid w:val="00EB6447"/>
    <w:rsid w:val="00EB708B"/>
    <w:rsid w:val="00EB772A"/>
    <w:rsid w:val="00EC01E3"/>
    <w:rsid w:val="00EC054C"/>
    <w:rsid w:val="00EC1C37"/>
    <w:rsid w:val="00ED2265"/>
    <w:rsid w:val="00EE6914"/>
    <w:rsid w:val="00EF006C"/>
    <w:rsid w:val="00EF04BD"/>
    <w:rsid w:val="00EF2D5F"/>
    <w:rsid w:val="00EF477C"/>
    <w:rsid w:val="00EF540B"/>
    <w:rsid w:val="00F01CDE"/>
    <w:rsid w:val="00F0204F"/>
    <w:rsid w:val="00F027AC"/>
    <w:rsid w:val="00F11A4F"/>
    <w:rsid w:val="00F131E0"/>
    <w:rsid w:val="00F13C6A"/>
    <w:rsid w:val="00F14CFF"/>
    <w:rsid w:val="00F20655"/>
    <w:rsid w:val="00F243E6"/>
    <w:rsid w:val="00F347D5"/>
    <w:rsid w:val="00F35B92"/>
    <w:rsid w:val="00F36C0E"/>
    <w:rsid w:val="00F43AAC"/>
    <w:rsid w:val="00F55491"/>
    <w:rsid w:val="00F64583"/>
    <w:rsid w:val="00F6646D"/>
    <w:rsid w:val="00F7079A"/>
    <w:rsid w:val="00F7468C"/>
    <w:rsid w:val="00F74984"/>
    <w:rsid w:val="00F74D6C"/>
    <w:rsid w:val="00F76924"/>
    <w:rsid w:val="00F85EB8"/>
    <w:rsid w:val="00F919E7"/>
    <w:rsid w:val="00F94990"/>
    <w:rsid w:val="00F96916"/>
    <w:rsid w:val="00FA200B"/>
    <w:rsid w:val="00FA23AF"/>
    <w:rsid w:val="00FA606A"/>
    <w:rsid w:val="00FB1A69"/>
    <w:rsid w:val="00FB5673"/>
    <w:rsid w:val="00FC085D"/>
    <w:rsid w:val="00FC280C"/>
    <w:rsid w:val="00FC7148"/>
    <w:rsid w:val="00FD62F4"/>
    <w:rsid w:val="00FE419A"/>
    <w:rsid w:val="00FE6569"/>
    <w:rsid w:val="00FE6697"/>
    <w:rsid w:val="00FF15F1"/>
    <w:rsid w:val="00FF39BD"/>
    <w:rsid w:val="00FF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9AF2"/>
  <w15:chartTrackingRefBased/>
  <w15:docId w15:val="{BFCF47EF-27DB-4BFC-A210-A83B88B4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BB6C4C"/>
    <w:pPr>
      <w:spacing w:after="120"/>
    </w:pPr>
  </w:style>
  <w:style w:type="character" w:customStyle="1" w:styleId="BodyTextChar">
    <w:name w:val="Body Text Char"/>
    <w:basedOn w:val="DefaultParagraphFont"/>
    <w:link w:val="BodyText"/>
    <w:uiPriority w:val="99"/>
    <w:semiHidden/>
    <w:rsid w:val="00BB6C4C"/>
  </w:style>
  <w:style w:type="character" w:styleId="CommentReference">
    <w:name w:val="annotation reference"/>
    <w:basedOn w:val="DefaultParagraphFont"/>
    <w:uiPriority w:val="99"/>
    <w:semiHidden/>
    <w:unhideWhenUsed/>
    <w:rsid w:val="00BB6C4C"/>
    <w:rPr>
      <w:sz w:val="16"/>
      <w:szCs w:val="16"/>
    </w:rPr>
  </w:style>
  <w:style w:type="paragraph" w:styleId="CommentText">
    <w:name w:val="annotation text"/>
    <w:basedOn w:val="Normal"/>
    <w:link w:val="CommentTextChar"/>
    <w:uiPriority w:val="99"/>
    <w:semiHidden/>
    <w:unhideWhenUsed/>
    <w:rsid w:val="00BB6C4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B6C4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B6C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C4C"/>
    <w:rPr>
      <w:rFonts w:ascii="Segoe UI" w:hAnsi="Segoe UI" w:cs="Segoe UI"/>
      <w:sz w:val="18"/>
      <w:szCs w:val="18"/>
    </w:rPr>
  </w:style>
  <w:style w:type="character" w:styleId="Hyperlink">
    <w:name w:val="Hyperlink"/>
    <w:basedOn w:val="DefaultParagraphFont"/>
    <w:uiPriority w:val="99"/>
    <w:semiHidden/>
    <w:unhideWhenUsed/>
    <w:rsid w:val="00CC1337"/>
    <w:rPr>
      <w:color w:val="0000FF"/>
      <w:u w:val="single"/>
    </w:rPr>
  </w:style>
  <w:style w:type="character" w:customStyle="1" w:styleId="Heading1Char">
    <w:name w:val="Heading 1 Char"/>
    <w:basedOn w:val="DefaultParagraphFont"/>
    <w:link w:val="Heading1"/>
    <w:uiPriority w:val="9"/>
    <w:rsid w:val="006B599D"/>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6907D9"/>
    <w:pPr>
      <w:widowControl/>
      <w:autoSpaceDE/>
      <w:autoSpaceDN/>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907D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3279">
      <w:bodyDiv w:val="1"/>
      <w:marLeft w:val="0"/>
      <w:marRight w:val="0"/>
      <w:marTop w:val="0"/>
      <w:marBottom w:val="0"/>
      <w:divBdr>
        <w:top w:val="none" w:sz="0" w:space="0" w:color="auto"/>
        <w:left w:val="none" w:sz="0" w:space="0" w:color="auto"/>
        <w:bottom w:val="none" w:sz="0" w:space="0" w:color="auto"/>
        <w:right w:val="none" w:sz="0" w:space="0" w:color="auto"/>
      </w:divBdr>
      <w:divsChild>
        <w:div w:id="1575161532">
          <w:marLeft w:val="0"/>
          <w:marRight w:val="0"/>
          <w:marTop w:val="0"/>
          <w:marBottom w:val="0"/>
          <w:divBdr>
            <w:top w:val="none" w:sz="0" w:space="0" w:color="auto"/>
            <w:left w:val="none" w:sz="0" w:space="0" w:color="auto"/>
            <w:bottom w:val="none" w:sz="0" w:space="0" w:color="auto"/>
            <w:right w:val="none" w:sz="0" w:space="0" w:color="auto"/>
          </w:divBdr>
        </w:div>
        <w:div w:id="1298562164">
          <w:marLeft w:val="0"/>
          <w:marRight w:val="0"/>
          <w:marTop w:val="0"/>
          <w:marBottom w:val="0"/>
          <w:divBdr>
            <w:top w:val="none" w:sz="0" w:space="0" w:color="auto"/>
            <w:left w:val="none" w:sz="0" w:space="0" w:color="auto"/>
            <w:bottom w:val="none" w:sz="0" w:space="0" w:color="auto"/>
            <w:right w:val="none" w:sz="0" w:space="0" w:color="auto"/>
          </w:divBdr>
        </w:div>
      </w:divsChild>
    </w:div>
    <w:div w:id="29460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full/10.1002/art.39800"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10</Pages>
  <Words>4188</Words>
  <Characters>23877</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13</cp:revision>
  <dcterms:created xsi:type="dcterms:W3CDTF">2019-01-21T23:15:00Z</dcterms:created>
  <dcterms:modified xsi:type="dcterms:W3CDTF">2019-01-26T19:22:00Z</dcterms:modified>
</cp:coreProperties>
</file>