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sz w:val="20"/>
          <w:szCs w:val="24"/>
        </w:rPr>
      </w:pPr>
      <w:r>
        <w:rPr>
          <w:rFonts w:ascii="Times New Roman" w:hAnsi="Times New Roman" w:cs="Times New Roman"/>
          <w:b/>
          <w:sz w:val="20"/>
          <w:szCs w:val="24"/>
          <w:u w:val="single"/>
        </w:rPr>
        <w:t xml:space="preserve">Templ</w:t>
      </w:r>
      <w:r>
        <w:rPr>
          <w:rFonts w:ascii="Times New Roman" w:hAnsi="Times New Roman" w:cs="Times New Roman" w:eastAsia="Times New Roman"/>
          <w:b/>
          <w:sz w:val="20"/>
          <w:szCs w:val="24"/>
          <w:u w:val="single"/>
        </w:rPr>
        <w:t xml:space="preserve">ate</w:t>
      </w:r>
      <w:r>
        <w:rPr>
          <w:rFonts w:ascii="Times New Roman" w:hAnsi="Times New Roman" w:cs="Times New Roman" w:eastAsia="Times New Roman"/>
          <w:b/>
          <w:sz w:val="20"/>
          <w:szCs w:val="24"/>
        </w:rPr>
        <w:t xml:space="preserve"> </w:t>
      </w:r>
      <w:r>
        <w:rPr>
          <w:rFonts w:ascii="Times New Roman" w:hAnsi="Times New Roman" w:cs="Times New Roman" w:eastAsia="Times New Roman"/>
          <w:sz w:val="20"/>
          <w:szCs w:val="24"/>
        </w:rPr>
        <w:t xml:space="preserve">(2 pages maximum, Times New Roman 1</w:t>
      </w:r>
      <w:r>
        <w:rPr>
          <w:rFonts w:ascii="Times New Roman" w:hAnsi="Times New Roman" w:cs="Times New Roman" w:eastAsia="Times New Roman"/>
          <w:sz w:val="20"/>
          <w:szCs w:val="24"/>
        </w:rPr>
        <w:t xml:space="preserve">1 </w:t>
      </w:r>
      <w:r>
        <w:rPr>
          <w:rFonts w:ascii="Times New Roman" w:hAnsi="Times New Roman" w:cs="Times New Roman" w:eastAsia="Times New Roman"/>
          <w:sz w:val="20"/>
          <w:szCs w:val="24"/>
        </w:rPr>
        <w:t xml:space="preserve">pt</w:t>
      </w:r>
      <w:r>
        <w:rPr>
          <w:rFonts w:ascii="Times New Roman" w:hAnsi="Times New Roman" w:cs="Times New Roman" w:eastAsia="Times New Roman"/>
          <w:sz w:val="20"/>
          <w:szCs w:val="24"/>
        </w:rPr>
        <w:t xml:space="preserve">, formatting same as PEER report)</w:t>
      </w:r>
      <w:r>
        <w:rPr>
          <w:rFonts w:ascii="Times New Roman" w:hAnsi="Times New Roman" w:cs="Times New Roman" w:eastAsia="Times New Roman"/>
          <w:sz w:val="20"/>
        </w:rPr>
      </w:r>
    </w:p>
    <w:p>
      <w:pPr>
        <w:jc w:val="both"/>
        <w:rPr>
          <w:rFonts w:ascii="Times New Roman" w:hAnsi="Times New Roman" w:cs="Times New Roman" w:eastAsia="Times New Roman"/>
          <w:sz w:val="20"/>
          <w:szCs w:val="24"/>
        </w:rPr>
      </w:pPr>
      <w:r>
        <w:rPr>
          <w:rFonts w:ascii="Times New Roman" w:hAnsi="Times New Roman" w:cs="Times New Roman" w:eastAsia="Times New Roman"/>
          <w:b/>
          <w:bCs/>
          <w:sz w:val="20"/>
          <w:szCs w:val="24"/>
        </w:rPr>
        <w:t xml:space="preserve">Motivation</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Figure 1.3 shows a bilinear force-displacement curve, which is generally representative of several types of energy-dissipating isolation devices.  The results of the test program demonstrated two direct effects of vertical shaking that may need to be consi</w:t>
      </w:r>
      <w:r>
        <w:rPr>
          <w:rFonts w:ascii="Times New Roman" w:hAnsi="Times New Roman" w:cs="Times New Roman" w:eastAsia="Times New Roman"/>
          <w:color w:val="000000"/>
          <w:sz w:val="20"/>
          <w:highlight w:val="white"/>
        </w:rPr>
        <w:t xml:space="preserve">dered in the lateral design of isolated structures.  Specifically, the high-frequency component introduced into the base shear by the vertical motion caused the activation of higher structural modes.</w:t>
      </w:r>
      <w:r>
        <w:rPr>
          <w:rFonts w:ascii="Times New Roman" w:hAnsi="Times New Roman" w:cs="Times New Roman" w:eastAsia="Times New Roman"/>
          <w:sz w:val="20"/>
          <w:szCs w:val="24"/>
        </w:rPr>
      </w:r>
      <w:r>
        <w:rPr>
          <w:rFonts w:ascii="Times New Roman" w:hAnsi="Times New Roman" w:cs="Times New Roman" w:eastAsia="Times New Roman"/>
          <w:sz w:val="20"/>
        </w:rPr>
      </w:r>
    </w:p>
    <w:p>
      <w:pPr>
        <w:jc w:val="both"/>
        <w:rPr>
          <w:rFonts w:ascii="Times New Roman" w:hAnsi="Times New Roman" w:cs="Times New Roman" w:eastAsia="Times New Roman"/>
          <w:sz w:val="20"/>
          <w:szCs w:val="24"/>
          <w:highlight w:val="yellow"/>
        </w:rPr>
      </w:pPr>
      <w:r>
        <w:rPr>
          <w:rFonts w:ascii="Times New Roman" w:hAnsi="Times New Roman" w:cs="Times New Roman" w:eastAsia="Times New Roman"/>
          <w:b/>
          <w:bCs/>
          <w:sz w:val="20"/>
          <w:szCs w:val="24"/>
        </w:rPr>
        <w:t xml:space="preserve">Objectives</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As outlined above, although quite a few previous experimental studies reported no significant influence of vertical motion on the horizontal response isolated structures, the experimental test on a full-scale five-story steel moment frame building isolated</w:t>
      </w:r>
      <w:r>
        <w:rPr>
          <w:rFonts w:ascii="Times New Roman" w:hAnsi="Times New Roman" w:cs="Times New Roman" w:eastAsia="Times New Roman"/>
          <w:color w:val="000000"/>
          <w:sz w:val="20"/>
          <w:highlight w:val="white"/>
        </w:rPr>
        <w:t xml:space="preserve"> with TPBs at E-defense demonstrated that vertical shaking can increase the base shear and horizontal acceleration.  The primary objectives of this study are as follows: (1) to develop a physical understanding of the phenomena by which responses in bridges</w:t>
      </w:r>
      <w:r>
        <w:rPr>
          <w:rFonts w:ascii="Times New Roman" w:hAnsi="Times New Roman" w:cs="Times New Roman" w:eastAsia="Times New Roman"/>
          <w:color w:val="000000"/>
          <w:sz w:val="20"/>
          <w:highlight w:val="white"/>
        </w:rPr>
        <w:t xml:space="preserve"> isolated with spherical sliding bearings are amplified due to vertical shaking; and (2) to develop a simplified method to estimate the amplification of the base-shear coefficient for this class of bridges.</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szCs w:val="24"/>
          <w:highlight w:val="yellow"/>
        </w:rPr>
      </w:r>
      <w:r>
        <w:rPr>
          <w:rFonts w:ascii="Times New Roman" w:hAnsi="Times New Roman" w:cs="Times New Roman" w:eastAsia="Times New Roman"/>
          <w:sz w:val="20"/>
        </w:rPr>
      </w:r>
    </w:p>
    <w:p>
      <w:pPr>
        <w:jc w:val="both"/>
        <w:rPr>
          <w:rFonts w:ascii="Times New Roman" w:hAnsi="Times New Roman" w:cs="Times New Roman" w:eastAsia="Times New Roman"/>
          <w:sz w:val="20"/>
          <w:szCs w:val="24"/>
        </w:rPr>
      </w:pPr>
      <w:r>
        <w:rPr>
          <w:rFonts w:ascii="Times New Roman" w:hAnsi="Times New Roman" w:cs="Times New Roman" w:eastAsia="Times New Roman"/>
          <w:sz w:val="20"/>
          <w:szCs w:val="24"/>
          <w:highlight w:val="yellow"/>
        </w:rPr>
      </w:r>
      <w:r>
        <w:rPr>
          <w:rFonts w:ascii="Times New Roman" w:hAnsi="Times New Roman" w:cs="Times New Roman" w:eastAsia="Times New Roman"/>
          <w:b/>
          <w:bCs/>
          <w:sz w:val="20"/>
          <w:szCs w:val="24"/>
        </w:rPr>
        <w:t xml:space="preserve">Methodology</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For most investigations, ground motions are selected and scaled for a target intensity or target spectrum in the horizontal direction only, without regard to the vertical component.  The procedure used to scale the ground motions to best fit the target spe</w:t>
      </w:r>
      <w:r>
        <w:rPr>
          <w:rFonts w:ascii="Times New Roman" w:hAnsi="Times New Roman" w:cs="Times New Roman" w:eastAsia="Times New Roman"/>
          <w:color w:val="000000"/>
          <w:sz w:val="20"/>
          <w:highlight w:val="white"/>
        </w:rPr>
        <w:t xml:space="preserve">ctrum was as follows [Carlton 2014]: first, motions were rotated to the direction that maximized the spectral acceleration at a period T = 1 sec.  The vertical spectral shape resembles a standard code horizontal spectrum [ASCE 2017] but with fixed transiti</w:t>
      </w:r>
      <w:r>
        <w:rPr>
          <w:rFonts w:ascii="Times New Roman" w:hAnsi="Times New Roman" w:cs="Times New Roman" w:eastAsia="Times New Roman"/>
          <w:color w:val="000000"/>
          <w:sz w:val="20"/>
          <w:highlight w:val="white"/>
        </w:rPr>
        <w:t xml:space="preserve">on periods at 0.05 sec and 0.15 sec that determine the start and end of the constant acceleration region.  To better understand the influence of intensity on the bridge response, the ground motions have been divided into three groups based on scaled vertic</w:t>
      </w:r>
      <w:r>
        <w:rPr>
          <w:rFonts w:ascii="Times New Roman" w:hAnsi="Times New Roman" w:cs="Times New Roman" w:eastAsia="Times New Roman"/>
          <w:color w:val="000000"/>
          <w:sz w:val="20"/>
          <w:highlight w:val="white"/>
        </w:rPr>
        <w:t xml:space="preserve">al PGA intensity ranges; see Table 2.2.  Figures 2.4 and 2.5 show acceleration spectra for individual scaled motions plotted against the target spectrum for horizontal and vertical components, respectively.  Isolation system parameter variations were also </w:t>
      </w:r>
      <w:r>
        <w:rPr>
          <w:rFonts w:ascii="Times New Roman" w:hAnsi="Times New Roman" w:cs="Times New Roman" w:eastAsia="Times New Roman"/>
          <w:color w:val="000000"/>
          <w:sz w:val="20"/>
          <w:highlight w:val="white"/>
        </w:rPr>
        <w:t xml:space="preserve">applied to the Base Model bridge to investigate the influence of friction coefficient and isolation period on bridge response to combined horizontal and vertical ground motions.  Table 3.3 lists the isolator parameter variations considered for Base Model b</w:t>
      </w:r>
      <w:r>
        <w:rPr>
          <w:rFonts w:ascii="Times New Roman" w:hAnsi="Times New Roman" w:cs="Times New Roman" w:eastAsia="Times New Roman"/>
          <w:color w:val="000000"/>
          <w:sz w:val="20"/>
          <w:highlight w:val="white"/>
        </w:rPr>
        <w:t xml:space="preserve">ridge.  The bridges in this study were isolated with TPBs, although the observations regarding the influence of vertical shaking are expected to apply generally to any type of spherical sliding bearing.  The radii of these curved surfaces, R1, R2, and R3, </w:t>
      </w:r>
      <w:r>
        <w:rPr>
          <w:rFonts w:ascii="Times New Roman" w:hAnsi="Times New Roman" w:cs="Times New Roman" w:eastAsia="Times New Roman"/>
          <w:color w:val="000000"/>
          <w:sz w:val="20"/>
          <w:highlight w:val="white"/>
        </w:rPr>
        <w:t xml:space="preserve">and the friction coefficients of the sliding interfaces, µ1, µ2, and µ3, determine the hysteretic response of the TPBs. Parameters d1, d2, and d3 represent displacement limits of the pendulum mechanisms, and h1, h2, and h3 are slider heights; see Figure 3.</w:t>
      </w:r>
      <w:r>
        <w:rPr>
          <w:rFonts w:ascii="Times New Roman" w:hAnsi="Times New Roman" w:cs="Times New Roman" w:eastAsia="Times New Roman"/>
          <w:color w:val="000000"/>
          <w:sz w:val="20"/>
          <w:highlight w:val="white"/>
        </w:rPr>
        <w:t xml:space="preserve">7.  In the first stage, shown in Figure 3.9, sliding occurs between Interfaces 2 and 3 when the normalized horizontal force, , exceeds the friction coefficient µ1.  In the second stage of sliding, the normalized horizontal force, , exceeds the friction coe</w:t>
      </w:r>
      <w:r>
        <w:rPr>
          <w:rFonts w:ascii="Times New Roman" w:hAnsi="Times New Roman" w:cs="Times New Roman" w:eastAsia="Times New Roman"/>
          <w:color w:val="000000"/>
          <w:sz w:val="20"/>
          <w:highlight w:val="white"/>
        </w:rPr>
        <w:t xml:space="preserve">fficient, µ2, and the inner slider slides on the upper articulated slider (Interface 3), while, simultaneously, the lower articulated slider slides on the bottom concave plate (Interface 1) (Figure 3.9).  The third stage of sliding starts when the normaliz</w:t>
      </w:r>
      <w:r>
        <w:rPr>
          <w:rFonts w:ascii="Times New Roman" w:hAnsi="Times New Roman" w:cs="Times New Roman" w:eastAsia="Times New Roman"/>
          <w:color w:val="000000"/>
          <w:sz w:val="20"/>
          <w:highlight w:val="white"/>
        </w:rPr>
        <w:t xml:space="preserve">ed horizontal force  acting on the isolators exceeds the friction coefficient µ3.  The normalized backbone curve used in this study for the Base Model bridge is shown in Figure 3.10.  When vertical acceleration is considered, the system base shear should b</w:t>
      </w:r>
      <w:r>
        <w:rPr>
          <w:rFonts w:ascii="Times New Roman" w:hAnsi="Times New Roman" w:cs="Times New Roman" w:eastAsia="Times New Roman"/>
          <w:color w:val="000000"/>
          <w:sz w:val="20"/>
          <w:highlight w:val="white"/>
        </w:rPr>
        <w:t xml:space="preserve">e determined from the instantaneous normal force, N, on the isolators rather than the static weight of the structure:  For the Base Model bridge configuration, Tv = 0.2 sec is selected because it approximately corresponds to Mode 7, the dominant vertical m</w:t>
      </w:r>
      <w:r>
        <w:rPr>
          <w:rFonts w:ascii="Times New Roman" w:hAnsi="Times New Roman" w:cs="Times New Roman" w:eastAsia="Times New Roman"/>
          <w:color w:val="000000"/>
          <w:sz w:val="20"/>
          <w:highlight w:val="white"/>
        </w:rPr>
        <w:t xml:space="preserve">ode observed in the response; see Figure 4.21</w:t>
      </w:r>
      <w:r>
        <w:rPr>
          <w:rFonts w:ascii="Times New Roman" w:hAnsi="Times New Roman" w:cs="Times New Roman" w:eastAsia="Times New Roman"/>
          <w:color w:val="000000"/>
          <w:sz w:val="20"/>
        </w:rPr>
        <w:t xml:space="preserve">.</w:t>
      </w:r>
      <w:r>
        <w:rPr>
          <w:rFonts w:ascii="Times New Roman" w:hAnsi="Times New Roman" w:cs="Times New Roman" w:eastAsia="Times New Roman"/>
          <w:sz w:val="20"/>
          <w:szCs w:val="24"/>
        </w:rPr>
      </w:r>
      <w:r>
        <w:rPr>
          <w:rFonts w:ascii="Times New Roman" w:hAnsi="Times New Roman" w:cs="Times New Roman" w:eastAsia="Times New Roman"/>
          <w:sz w:val="20"/>
        </w:rPr>
      </w:r>
    </w:p>
    <w:p>
      <w:pPr>
        <w:jc w:val="both"/>
        <w:rPr>
          <w:rFonts w:ascii="Times New Roman" w:hAnsi="Times New Roman" w:cs="Times New Roman" w:eastAsia="Times New Roman"/>
          <w:sz w:val="20"/>
          <w:szCs w:val="24"/>
        </w:rPr>
      </w:pPr>
      <w:r>
        <w:rPr>
          <w:rFonts w:ascii="Times New Roman" w:hAnsi="Times New Roman" w:cs="Times New Roman" w:eastAsia="Times New Roman"/>
          <w:b/>
          <w:bCs/>
          <w:sz w:val="20"/>
          <w:szCs w:val="24"/>
        </w:rPr>
        <w:t xml:space="preserve">Results</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Figures 4.2 and 4.3 suggest that high-frequency vertical oscillation was transferred to the acceleration and base shear during 3D motion, which increased the shear force demand on the bridge piers.  Overall, peak accelerations in the longitudinal and trans</w:t>
      </w:r>
      <w:r>
        <w:rPr>
          <w:rFonts w:ascii="Times New Roman" w:hAnsi="Times New Roman" w:cs="Times New Roman" w:eastAsia="Times New Roman"/>
          <w:color w:val="000000"/>
          <w:sz w:val="20"/>
          <w:highlight w:val="white"/>
        </w:rPr>
        <w:t xml:space="preserve">verse directions during 2D motion are lower than exhibited by Group 1 (Figure 4.7 versus Figure 4.2) due to comparatively lower horizontal shaking intensities; during the 3D motion, they are lower due to comparatively lower PGAV.  One notable difference in</w:t>
      </w:r>
      <w:r>
        <w:rPr>
          <w:rFonts w:ascii="Times New Roman" w:hAnsi="Times New Roman" w:cs="Times New Roman" w:eastAsia="Times New Roman"/>
          <w:color w:val="000000"/>
          <w:sz w:val="20"/>
          <w:highlight w:val="white"/>
        </w:rPr>
        <w:t xml:space="preserve"> the response to this motion compared to the motions examined for Groups 1 and 2 is that the AR for longitudinal direction acceleration and base shear is higher than for the transverse direction.  The AR for peak accelerations and total base shear are also</w:t>
      </w:r>
      <w:r>
        <w:rPr>
          <w:rFonts w:ascii="Times New Roman" w:hAnsi="Times New Roman" w:cs="Times New Roman" w:eastAsia="Times New Roman"/>
          <w:color w:val="000000"/>
          <w:sz w:val="20"/>
          <w:highlight w:val="white"/>
        </w:rPr>
        <w:t xml:space="preserve"> tabulated in Table 4.2, which also shows the AR averaged over each ground-motion group.  The spectral response for accelerations at Bent 1 in the longitudinal, transverse, and vertical directions due to the SFPU motion are plotted in Figure 4.19.  Figures</w:t>
      </w:r>
      <w:r>
        <w:rPr>
          <w:rFonts w:ascii="Times New Roman" w:hAnsi="Times New Roman" w:cs="Times New Roman" w:eastAsia="Times New Roman"/>
          <w:color w:val="000000"/>
          <w:sz w:val="20"/>
          <w:highlight w:val="white"/>
        </w:rPr>
        <w:t xml:space="preserve"> 5.1 and 5.2 present the simulated base-shear coefficients for 2D and 3D motions, along with base-shear coefficient for 3D motions estimated with different amplification factors in the transverse and longitudinal directions, respectively.  Figures 5.3 and </w:t>
      </w:r>
      <w:r>
        <w:rPr>
          <w:rFonts w:ascii="Times New Roman" w:hAnsi="Times New Roman" w:cs="Times New Roman" w:eastAsia="Times New Roman"/>
          <w:color w:val="000000"/>
          <w:sz w:val="20"/>
          <w:highlight w:val="white"/>
        </w:rPr>
        <w:t xml:space="preserve">5.4 present AE for all motions in the transverse and longitudinal directions, respectively, for all three values of amplification factor ν.  Figures 5.5 and 5.6 compare BSNE for the base-shear estimates in the transverse and longitudinal directions, respec</w:t>
      </w:r>
      <w:r>
        <w:rPr>
          <w:rFonts w:ascii="Times New Roman" w:hAnsi="Times New Roman" w:cs="Times New Roman" w:eastAsia="Times New Roman"/>
          <w:color w:val="000000"/>
          <w:sz w:val="20"/>
          <w:highlight w:val="white"/>
        </w:rPr>
        <w:t xml:space="preserve">tively, for different values of the amplification factor ν.  In the transverse direction, where coupling was observed between the transverse horizontal and vertical modes, the largest amplification factor can still underestimate the base shear for high-int</w:t>
      </w:r>
      <w:r>
        <w:rPr>
          <w:rFonts w:ascii="Times New Roman" w:hAnsi="Times New Roman" w:cs="Times New Roman" w:eastAsia="Times New Roman"/>
          <w:color w:val="000000"/>
          <w:sz w:val="20"/>
          <w:highlight w:val="white"/>
        </w:rPr>
        <w:t xml:space="preserve">ensity vertical motions.  The objective was to evaluate the accuracy of the proposed base-shear estimation methods and amplification factors across a range of isolation periods and friction coefficients.  For the high-intensity motion SFPU, amplification o</w:t>
      </w:r>
      <w:r>
        <w:rPr>
          <w:rFonts w:ascii="Times New Roman" w:hAnsi="Times New Roman" w:cs="Times New Roman" w:eastAsia="Times New Roman"/>
          <w:color w:val="000000"/>
          <w:sz w:val="20"/>
          <w:highlight w:val="white"/>
        </w:rPr>
        <w:t xml:space="preserve">f the base-shear coefficient from 2D to 3D is significant for all isolation system parameters; see Figure 6.1(a)-(b).  For ν = Sa(Tv)/PGAV, the estimated base-shear amplification differs for different bridge models only due to changes in the period of the </w:t>
      </w:r>
      <w:r>
        <w:rPr>
          <w:rFonts w:ascii="Times New Roman" w:hAnsi="Times New Roman" w:cs="Times New Roman" w:eastAsia="Times New Roman"/>
          <w:color w:val="000000"/>
          <w:sz w:val="20"/>
          <w:highlight w:val="white"/>
        </w:rPr>
        <w:t xml:space="preserve">dominant vertical mode.  Under the Group 1 motion SFPU, the base-shear amplification is high for all bridge models in both longitudinal and transverse directions [Figure 6.5(a) and (b)].  The base-shear coefficient and its amplification due to vertical sha</w:t>
      </w:r>
      <w:r>
        <w:rPr>
          <w:rFonts w:ascii="Times New Roman" w:hAnsi="Times New Roman" w:cs="Times New Roman" w:eastAsia="Times New Roman"/>
          <w:color w:val="000000"/>
          <w:sz w:val="20"/>
          <w:highlight w:val="white"/>
        </w:rPr>
        <w:t xml:space="preserve">king is least sensitive to bridge modeling parameters for the Group 2 moderate-intensity motion LGP [Figure 6.5(c) and (d)].</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rPr>
      </w:r>
    </w:p>
    <w:p>
      <w:pPr>
        <w:jc w:val="both"/>
        <w:rPr>
          <w:rFonts w:ascii="Times New Roman" w:hAnsi="Times New Roman" w:cs="Times New Roman" w:eastAsia="Times New Roman"/>
          <w:sz w:val="20"/>
          <w:szCs w:val="24"/>
        </w:rPr>
      </w:pPr>
      <w:r>
        <w:rPr>
          <w:rFonts w:ascii="Times New Roman" w:hAnsi="Times New Roman" w:cs="Times New Roman" w:eastAsia="Times New Roman"/>
          <w:sz w:val="20"/>
          <w:szCs w:val="24"/>
        </w:rPr>
      </w:r>
      <w:r>
        <w:rPr>
          <w:rFonts w:ascii="Times New Roman" w:hAnsi="Times New Roman" w:cs="Times New Roman" w:eastAsia="Times New Roman"/>
          <w:b/>
          <w:bCs/>
          <w:sz w:val="20"/>
          <w:szCs w:val="24"/>
        </w:rPr>
        <w:t xml:space="preserve">Conclusions</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In this study, a series of ground motions with a wide range of vertical shaking intensity were applied to three-dimensional models of bridges isolated with triple pendulum bearings (TPBs) that both excluded the vertical component (2D shaking) and included </w:t>
      </w:r>
      <w:r>
        <w:rPr>
          <w:rFonts w:ascii="Times New Roman" w:hAnsi="Times New Roman" w:cs="Times New Roman" w:eastAsia="Times New Roman"/>
          <w:color w:val="000000"/>
          <w:sz w:val="20"/>
          <w:highlight w:val="white"/>
        </w:rPr>
        <w:t xml:space="preserve">the vertical component (3D motion).  The theory predicts that the amplification of base shear is proportional to (uo/Reff + m), where uo is peak isolator displacement, Reff is the radius and m the friction coefficient of the effective pendulum mechanism, a</w:t>
      </w:r>
      <w:r>
        <w:rPr>
          <w:rFonts w:ascii="Times New Roman" w:hAnsi="Times New Roman" w:cs="Times New Roman" w:eastAsia="Times New Roman"/>
          <w:color w:val="000000"/>
          <w:sz w:val="20"/>
          <w:highlight w:val="white"/>
        </w:rPr>
        <w:t xml:space="preserve">s well as PGAV, thus accounting for any variation of isolation system parameters in the estimate.  The simplified method with a different amplification factor was assessed over a range of isolation parameters and bridge parameter variations.  The transvers</w:t>
      </w:r>
      <w:r>
        <w:rPr>
          <w:rFonts w:ascii="Times New Roman" w:hAnsi="Times New Roman" w:cs="Times New Roman" w:eastAsia="Times New Roman"/>
          <w:color w:val="000000"/>
          <w:sz w:val="20"/>
          <w:highlight w:val="white"/>
        </w:rPr>
        <w:t xml:space="preserve">e-direction base shear in the Base Model bridge was amplified by factors ranging from 1.39 to 3.59 for the Group 1 motions, 1.12 to 1.52 for the Group 2 motions, and 1.21 to 1.26 in Group 3 motions.  The proposed method to estimate base shear for 3D shakin</w:t>
      </w:r>
      <w:r>
        <w:rPr>
          <w:rFonts w:ascii="Times New Roman" w:hAnsi="Times New Roman" w:cs="Times New Roman" w:eastAsia="Times New Roman"/>
          <w:color w:val="000000"/>
          <w:sz w:val="20"/>
          <w:highlight w:val="white"/>
        </w:rPr>
        <w:t xml:space="preserve">g well captures these observed trends in the base-shear coefficient vs isolation system parameters.  Differences in base-shear amplification for bridge superstructure parameter variations were insignificant, and the simplified method also estimated base sh</w:t>
      </w:r>
      <w:r>
        <w:rPr>
          <w:rFonts w:ascii="Times New Roman" w:hAnsi="Times New Roman" w:cs="Times New Roman" w:eastAsia="Times New Roman"/>
          <w:color w:val="000000"/>
          <w:sz w:val="20"/>
          <w:highlight w:val="white"/>
        </w:rPr>
        <w:t xml:space="preserve">ear for 3D shaking accurately across the range of bridge model variations.</w:t>
      </w:r>
      <w:r>
        <w:rPr>
          <w:rFonts w:ascii="Times New Roman" w:hAnsi="Times New Roman" w:cs="Times New Roman" w:eastAsia="Times New Roman"/>
          <w:sz w:val="20"/>
          <w:szCs w:val="24"/>
        </w:rPr>
      </w:r>
      <w:r>
        <w:rPr>
          <w:rFonts w:ascii="Times New Roman" w:hAnsi="Times New Roman" w:cs="Times New Roman" w:eastAsia="Times New Roman"/>
          <w:sz w:val="20"/>
        </w:rPr>
      </w:r>
    </w:p>
    <w:sectPr>
      <w:footnotePr/>
      <w:type w:val="nextPage"/>
      <w:pgSz w:w="12240" w:h="15840" w:orient="portrait"/>
      <w:pgMar w:top="1440" w:right="1440" w:bottom="1440" w:left="144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0"/>
    <w:next w:val="37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71"/>
    <w:link w:val="11"/>
    <w:uiPriority w:val="9"/>
    <w:rPr>
      <w:rFonts w:ascii="Arial" w:hAnsi="Arial" w:cs="Arial" w:eastAsia="Arial"/>
      <w:sz w:val="40"/>
      <w:szCs w:val="40"/>
    </w:rPr>
  </w:style>
  <w:style w:type="paragraph" w:styleId="13">
    <w:name w:val="Heading 2"/>
    <w:basedOn w:val="370"/>
    <w:next w:val="37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1"/>
    <w:link w:val="13"/>
    <w:uiPriority w:val="9"/>
    <w:rPr>
      <w:rFonts w:ascii="Arial" w:hAnsi="Arial" w:cs="Arial" w:eastAsia="Arial"/>
      <w:sz w:val="34"/>
    </w:rPr>
  </w:style>
  <w:style w:type="paragraph" w:styleId="15">
    <w:name w:val="Heading 3"/>
    <w:basedOn w:val="370"/>
    <w:next w:val="37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1"/>
    <w:link w:val="15"/>
    <w:uiPriority w:val="9"/>
    <w:rPr>
      <w:rFonts w:ascii="Arial" w:hAnsi="Arial" w:cs="Arial" w:eastAsia="Arial"/>
      <w:sz w:val="30"/>
      <w:szCs w:val="30"/>
    </w:rPr>
  </w:style>
  <w:style w:type="paragraph" w:styleId="17">
    <w:name w:val="Heading 4"/>
    <w:basedOn w:val="370"/>
    <w:next w:val="37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1"/>
    <w:link w:val="17"/>
    <w:uiPriority w:val="9"/>
    <w:rPr>
      <w:rFonts w:ascii="Arial" w:hAnsi="Arial" w:cs="Arial" w:eastAsia="Arial"/>
      <w:b/>
      <w:bCs/>
      <w:sz w:val="26"/>
      <w:szCs w:val="26"/>
    </w:rPr>
  </w:style>
  <w:style w:type="paragraph" w:styleId="19">
    <w:name w:val="Heading 5"/>
    <w:basedOn w:val="370"/>
    <w:next w:val="37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1"/>
    <w:link w:val="19"/>
    <w:uiPriority w:val="9"/>
    <w:rPr>
      <w:rFonts w:ascii="Arial" w:hAnsi="Arial" w:cs="Arial" w:eastAsia="Arial"/>
      <w:b/>
      <w:bCs/>
      <w:sz w:val="24"/>
      <w:szCs w:val="24"/>
    </w:rPr>
  </w:style>
  <w:style w:type="paragraph" w:styleId="21">
    <w:name w:val="Heading 6"/>
    <w:basedOn w:val="370"/>
    <w:next w:val="37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1"/>
    <w:link w:val="21"/>
    <w:uiPriority w:val="9"/>
    <w:rPr>
      <w:rFonts w:ascii="Arial" w:hAnsi="Arial" w:cs="Arial" w:eastAsia="Arial"/>
      <w:b/>
      <w:bCs/>
      <w:sz w:val="22"/>
      <w:szCs w:val="22"/>
    </w:rPr>
  </w:style>
  <w:style w:type="paragraph" w:styleId="23">
    <w:name w:val="Heading 7"/>
    <w:basedOn w:val="370"/>
    <w:next w:val="37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1"/>
    <w:link w:val="23"/>
    <w:uiPriority w:val="9"/>
    <w:rPr>
      <w:rFonts w:ascii="Arial" w:hAnsi="Arial" w:cs="Arial" w:eastAsia="Arial"/>
      <w:b/>
      <w:bCs/>
      <w:i/>
      <w:iCs/>
      <w:sz w:val="22"/>
      <w:szCs w:val="22"/>
    </w:rPr>
  </w:style>
  <w:style w:type="paragraph" w:styleId="25">
    <w:name w:val="Heading 8"/>
    <w:basedOn w:val="370"/>
    <w:next w:val="37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1"/>
    <w:link w:val="25"/>
    <w:uiPriority w:val="9"/>
    <w:rPr>
      <w:rFonts w:ascii="Arial" w:hAnsi="Arial" w:cs="Arial" w:eastAsia="Arial"/>
      <w:i/>
      <w:iCs/>
      <w:sz w:val="22"/>
      <w:szCs w:val="22"/>
    </w:rPr>
  </w:style>
  <w:style w:type="paragraph" w:styleId="27">
    <w:name w:val="Heading 9"/>
    <w:basedOn w:val="370"/>
    <w:next w:val="37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70"/>
    <w:next w:val="370"/>
    <w:link w:val="33"/>
    <w:qFormat/>
    <w:uiPriority w:val="10"/>
    <w:rPr>
      <w:sz w:val="48"/>
      <w:szCs w:val="48"/>
    </w:rPr>
    <w:pPr>
      <w:contextualSpacing w:val="true"/>
      <w:spacing w:after="200" w:before="300"/>
    </w:pPr>
  </w:style>
  <w:style w:type="character" w:styleId="33">
    <w:name w:val="Title Char"/>
    <w:basedOn w:val="371"/>
    <w:link w:val="32"/>
    <w:uiPriority w:val="10"/>
    <w:rPr>
      <w:sz w:val="48"/>
      <w:szCs w:val="48"/>
    </w:rPr>
  </w:style>
  <w:style w:type="paragraph" w:styleId="34">
    <w:name w:val="Subtitle"/>
    <w:basedOn w:val="370"/>
    <w:next w:val="370"/>
    <w:link w:val="35"/>
    <w:qFormat/>
    <w:uiPriority w:val="11"/>
    <w:rPr>
      <w:sz w:val="24"/>
      <w:szCs w:val="24"/>
    </w:rPr>
    <w:pPr>
      <w:spacing w:after="200" w:before="200"/>
    </w:pPr>
  </w:style>
  <w:style w:type="character" w:styleId="35">
    <w:name w:val="Subtitle Char"/>
    <w:basedOn w:val="371"/>
    <w:link w:val="34"/>
    <w:uiPriority w:val="11"/>
    <w:rPr>
      <w:sz w:val="24"/>
      <w:szCs w:val="24"/>
    </w:rPr>
  </w:style>
  <w:style w:type="paragraph" w:styleId="36">
    <w:name w:val="Quote"/>
    <w:basedOn w:val="370"/>
    <w:next w:val="370"/>
    <w:link w:val="37"/>
    <w:qFormat/>
    <w:uiPriority w:val="29"/>
    <w:rPr>
      <w:i/>
    </w:rPr>
    <w:pPr>
      <w:ind w:left="720" w:right="720"/>
    </w:pPr>
  </w:style>
  <w:style w:type="character" w:styleId="37">
    <w:name w:val="Quote Char"/>
    <w:link w:val="36"/>
    <w:uiPriority w:val="29"/>
    <w:rPr>
      <w:i/>
    </w:rPr>
  </w:style>
  <w:style w:type="paragraph" w:styleId="38">
    <w:name w:val="Intense Quote"/>
    <w:basedOn w:val="370"/>
    <w:next w:val="37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0"/>
    <w:link w:val="41"/>
    <w:uiPriority w:val="99"/>
    <w:unhideWhenUsed/>
    <w:pPr>
      <w:spacing w:lineRule="auto" w:line="240" w:after="0"/>
      <w:tabs>
        <w:tab w:val="center" w:pos="7143" w:leader="none"/>
        <w:tab w:val="right" w:pos="14287" w:leader="none"/>
      </w:tabs>
    </w:pPr>
  </w:style>
  <w:style w:type="character" w:styleId="41">
    <w:name w:val="Header Char"/>
    <w:basedOn w:val="371"/>
    <w:link w:val="40"/>
    <w:uiPriority w:val="99"/>
  </w:style>
  <w:style w:type="paragraph" w:styleId="42">
    <w:name w:val="Footer"/>
    <w:basedOn w:val="370"/>
    <w:link w:val="43"/>
    <w:uiPriority w:val="99"/>
    <w:unhideWhenUsed/>
    <w:pPr>
      <w:spacing w:lineRule="auto" w:line="240" w:after="0"/>
      <w:tabs>
        <w:tab w:val="center" w:pos="7143" w:leader="none"/>
        <w:tab w:val="right" w:pos="14287" w:leader="none"/>
      </w:tabs>
    </w:pPr>
  </w:style>
  <w:style w:type="character" w:styleId="43">
    <w:name w:val="Footer Char"/>
    <w:basedOn w:val="371"/>
    <w:link w:val="42"/>
    <w:uiPriority w:val="99"/>
  </w:style>
  <w:style w:type="table" w:styleId="44">
    <w:name w:val="Table Grid"/>
    <w:basedOn w:val="37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3">
    <w:name w:val="Grid Table 7 Colorful"/>
    <w:basedOn w:val="37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7">
    <w:name w:val="List Table 6 Colorful - Accent 2"/>
    <w:basedOn w:val="37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1">
    <w:name w:val="List Table 6 Colorful - Accent 6"/>
    <w:basedOn w:val="37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4">
    <w:name w:val="List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48">
    <w:name w:val="List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70"/>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371"/>
    <w:uiPriority w:val="99"/>
    <w:unhideWhenUsed/>
    <w:rPr>
      <w:vertAlign w:val="superscript"/>
    </w:rPr>
  </w:style>
  <w:style w:type="paragraph" w:styleId="174">
    <w:name w:val="toc 1"/>
    <w:basedOn w:val="370"/>
    <w:next w:val="370"/>
    <w:uiPriority w:val="39"/>
    <w:unhideWhenUsed/>
    <w:pPr>
      <w:ind w:left="0" w:right="0" w:firstLine="0"/>
      <w:spacing w:after="57"/>
    </w:pPr>
  </w:style>
  <w:style w:type="paragraph" w:styleId="175">
    <w:name w:val="toc 2"/>
    <w:basedOn w:val="370"/>
    <w:next w:val="370"/>
    <w:uiPriority w:val="39"/>
    <w:unhideWhenUsed/>
    <w:pPr>
      <w:ind w:left="283" w:right="0" w:firstLine="0"/>
      <w:spacing w:after="57"/>
    </w:pPr>
  </w:style>
  <w:style w:type="paragraph" w:styleId="176">
    <w:name w:val="toc 3"/>
    <w:basedOn w:val="370"/>
    <w:next w:val="370"/>
    <w:uiPriority w:val="39"/>
    <w:unhideWhenUsed/>
    <w:pPr>
      <w:ind w:left="567" w:right="0" w:firstLine="0"/>
      <w:spacing w:after="57"/>
    </w:pPr>
  </w:style>
  <w:style w:type="paragraph" w:styleId="177">
    <w:name w:val="toc 4"/>
    <w:basedOn w:val="370"/>
    <w:next w:val="370"/>
    <w:uiPriority w:val="39"/>
    <w:unhideWhenUsed/>
    <w:pPr>
      <w:ind w:left="850" w:right="0" w:firstLine="0"/>
      <w:spacing w:after="57"/>
    </w:pPr>
  </w:style>
  <w:style w:type="paragraph" w:styleId="178">
    <w:name w:val="toc 5"/>
    <w:basedOn w:val="370"/>
    <w:next w:val="370"/>
    <w:uiPriority w:val="39"/>
    <w:unhideWhenUsed/>
    <w:pPr>
      <w:ind w:left="1134" w:right="0" w:firstLine="0"/>
      <w:spacing w:after="57"/>
    </w:pPr>
  </w:style>
  <w:style w:type="paragraph" w:styleId="179">
    <w:name w:val="toc 6"/>
    <w:basedOn w:val="370"/>
    <w:next w:val="370"/>
    <w:uiPriority w:val="39"/>
    <w:unhideWhenUsed/>
    <w:pPr>
      <w:ind w:left="1417" w:right="0" w:firstLine="0"/>
      <w:spacing w:after="57"/>
    </w:pPr>
  </w:style>
  <w:style w:type="paragraph" w:styleId="180">
    <w:name w:val="toc 7"/>
    <w:basedOn w:val="370"/>
    <w:next w:val="370"/>
    <w:uiPriority w:val="39"/>
    <w:unhideWhenUsed/>
    <w:pPr>
      <w:ind w:left="1701" w:right="0" w:firstLine="0"/>
      <w:spacing w:after="57"/>
    </w:pPr>
  </w:style>
  <w:style w:type="paragraph" w:styleId="181">
    <w:name w:val="toc 8"/>
    <w:basedOn w:val="370"/>
    <w:next w:val="370"/>
    <w:uiPriority w:val="39"/>
    <w:unhideWhenUsed/>
    <w:pPr>
      <w:ind w:left="1984" w:right="0" w:firstLine="0"/>
      <w:spacing w:after="57"/>
    </w:pPr>
  </w:style>
  <w:style w:type="paragraph" w:styleId="182">
    <w:name w:val="toc 9"/>
    <w:basedOn w:val="370"/>
    <w:next w:val="370"/>
    <w:uiPriority w:val="39"/>
    <w:unhideWhenUsed/>
    <w:pPr>
      <w:ind w:left="2268" w:right="0" w:firstLine="0"/>
      <w:spacing w:after="57"/>
    </w:pPr>
  </w:style>
  <w:style w:type="paragraph" w:styleId="183">
    <w:name w:val="TOC Heading"/>
    <w:uiPriority w:val="39"/>
    <w:unhideWhenUsed/>
  </w:style>
  <w:style w:type="paragraph" w:styleId="370" w:default="1">
    <w:name w:val="Normal"/>
    <w:qFormat/>
  </w:style>
  <w:style w:type="character" w:styleId="371" w:default="1">
    <w:name w:val="Default Paragraph Font"/>
    <w:uiPriority w:val="1"/>
    <w:semiHidden/>
    <w:unhideWhenUsed/>
  </w:style>
  <w:style w:type="table" w:styleId="372" w:default="1">
    <w:name w:val="Normal Table"/>
    <w:uiPriority w:val="99"/>
    <w:semiHidden/>
    <w:unhideWhenUsed/>
    <w:tblPr>
      <w:tblInd w:w="0" w:type="dxa"/>
      <w:tblCellMar>
        <w:left w:w="108" w:type="dxa"/>
        <w:top w:w="0" w:type="dxa"/>
        <w:right w:w="108" w:type="dxa"/>
        <w:bottom w:w="0" w:type="dxa"/>
      </w:tblCellMar>
    </w:tblPr>
  </w:style>
  <w:style w:type="numbering" w:styleId="373" w:default="1">
    <w:name w:val="No List"/>
    <w:uiPriority w:val="99"/>
    <w:semiHidden/>
    <w:unhideWhenUsed/>
  </w:style>
  <w:style w:type="paragraph" w:styleId="374">
    <w:name w:val="List Paragraph"/>
    <w:basedOn w:val="370"/>
    <w:qFormat/>
    <w:uiPriority w:val="34"/>
    <w:pPr>
      <w:contextualSpacing w:val="true"/>
      <w:ind w:left="720"/>
    </w:pPr>
  </w:style>
  <w:style w:type="paragraph" w:styleId="375">
    <w:name w:val="Revision"/>
    <w:uiPriority w:val="99"/>
    <w:hidden/>
    <w:semiHidden/>
    <w:pPr>
      <w:spacing w:lineRule="auto" w:line="240" w:after="0"/>
    </w:pPr>
  </w:style>
  <w:style w:type="paragraph" w:styleId="376">
    <w:name w:val="Balloon Text"/>
    <w:basedOn w:val="370"/>
    <w:link w:val="377"/>
    <w:uiPriority w:val="99"/>
    <w:semiHidden/>
    <w:unhideWhenUsed/>
    <w:rPr>
      <w:rFonts w:ascii="Times New Roman" w:hAnsi="Times New Roman" w:cs="Times New Roman"/>
      <w:sz w:val="18"/>
      <w:szCs w:val="18"/>
    </w:rPr>
    <w:pPr>
      <w:spacing w:lineRule="auto" w:line="240" w:after="0"/>
    </w:pPr>
  </w:style>
  <w:style w:type="character" w:styleId="377" w:customStyle="1">
    <w:name w:val="Balloon Text Char"/>
    <w:basedOn w:val="371"/>
    <w:link w:val="376"/>
    <w:uiPriority w:val="99"/>
    <w:semiHidden/>
    <w:rPr>
      <w:rFonts w:ascii="Times New Roman" w:hAnsi="Times New Roman" w:cs="Times New Roman"/>
      <w:sz w:val="18"/>
      <w:szCs w:val="18"/>
    </w:rPr>
  </w:style>
  <w:style w:type="character" w:styleId="378">
    <w:name w:val="annotation reference"/>
    <w:basedOn w:val="371"/>
    <w:uiPriority w:val="99"/>
    <w:semiHidden/>
    <w:unhideWhenUsed/>
    <w:rPr>
      <w:sz w:val="16"/>
      <w:szCs w:val="16"/>
    </w:rPr>
  </w:style>
  <w:style w:type="paragraph" w:styleId="379">
    <w:name w:val="annotation text"/>
    <w:basedOn w:val="370"/>
    <w:link w:val="380"/>
    <w:uiPriority w:val="99"/>
    <w:semiHidden/>
    <w:unhideWhenUsed/>
    <w:rPr>
      <w:sz w:val="20"/>
      <w:szCs w:val="20"/>
    </w:rPr>
    <w:pPr>
      <w:spacing w:lineRule="auto" w:line="240"/>
    </w:pPr>
  </w:style>
  <w:style w:type="character" w:styleId="380" w:customStyle="1">
    <w:name w:val="Comment Text Char"/>
    <w:basedOn w:val="371"/>
    <w:link w:val="379"/>
    <w:uiPriority w:val="99"/>
    <w:semiHidden/>
    <w:rPr>
      <w:sz w:val="20"/>
      <w:szCs w:val="20"/>
    </w:rPr>
  </w:style>
  <w:style w:type="paragraph" w:styleId="381">
    <w:name w:val="annotation subject"/>
    <w:basedOn w:val="379"/>
    <w:next w:val="379"/>
    <w:link w:val="382"/>
    <w:uiPriority w:val="99"/>
    <w:semiHidden/>
    <w:unhideWhenUsed/>
    <w:rPr>
      <w:b/>
      <w:bCs/>
    </w:rPr>
  </w:style>
  <w:style w:type="character" w:styleId="382" w:customStyle="1">
    <w:name w:val="Comment Subject Char"/>
    <w:basedOn w:val="380"/>
    <w:link w:val="381"/>
    <w:uiPriority w:val="99"/>
    <w:semiHidden/>
    <w:rPr>
      <w:b/>
      <w:bCs/>
      <w:sz w:val="20"/>
      <w:szCs w:val="2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Gunay</dc:creator>
  <cp:keywords/>
  <dc:description/>
  <cp:revision>3</cp:revision>
  <dcterms:created xsi:type="dcterms:W3CDTF">2020-03-30T17:01:00Z</dcterms:created>
  <dcterms:modified xsi:type="dcterms:W3CDTF">2020-04-03T11:38:23Z</dcterms:modified>
</cp:coreProperties>
</file>