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E-Commerce Sales &amp; Revenue Performance Analysis</w:t>
      </w:r>
    </w:p>
    <w:p>
      <w:pPr>
        <w:spacing w:after="80"/>
        <w:jc w:val="center"/>
      </w:pPr>
      <w:r>
        <w:rPr>
          <w:color w:val="2E75B6"/>
          <w:sz w:val="26"/>
          <w:szCs w:val="26"/>
        </w:rPr>
        <w:t xml:space="preserve">Data Analysis Report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Dataset: Olist Brazilian E-Commerce  |  Tools: Python, SQL, Tableau</w:t>
      </w:r>
    </w:p>
    <w:p>
      <w:pPr>
        <w:pBdr>
          <w:bottom w:val="single" w:color="2E75B6" w:sz="6" w:space="1"/>
        </w:pBdr>
        <w:spacing w:after="30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report presents findings from an end-to-end e-commerce analytics project using the Olist Brazilian E-Commerce dataset. The analysis covers 100,000+ real order records across 9 interconnected tables, examining revenue performance, product category trends, regional sales distribution, and customer retention patterns.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2. Key Performance Indicators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R$ 16,008,872.12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99,440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Order Value (AOV)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R$ 160.99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Analysis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2016 - 2018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Product 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States Covered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3. Key Insights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3.1 Top Revenue-Driving Product Categories</w:t>
      </w:r>
    </w:p>
    <w:p>
      <w:pPr>
        <w:spacing w:after="120"/>
      </w:pPr>
      <w:r>
        <w:rPr>
          <w:sz w:val="22"/>
          <w:szCs w:val="22"/>
        </w:rPr>
        <w:t xml:space="preserve">SQL JOIN analysis across 4 tables (order_items, products, category_translation, order_payments) revealed the following top revenue categories: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880"/>
        <w:gridCol w:w="25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bed_bath_table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R$ 1,712,553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9,417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health_beauty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R$ 1,657,373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8,835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computers_accessories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R$ 1,585,330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6,689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furniture_decor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R$ 1,430,176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6,449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watches_gifts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R$ 1,429,216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5,624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sports_leisure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R$ 1,392,127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7,720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housewares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R$ 1,094,758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5,884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R$ 852,294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3,897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garden_tools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R$ 838,280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3,518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cool_stuff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R$ 779,698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3,632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bed_bath_table leads all categories with R$ 1.7M in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 3 categories contribute approximately 30% of total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health_beauty shows high order volume relative to revenue — indicating lower AOV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3.2 Regional Sales Trends</w:t>
      </w:r>
    </w:p>
    <w:p>
      <w:pPr>
        <w:spacing w:after="120"/>
      </w:pPr>
      <w:r>
        <w:rPr>
          <w:sz w:val="22"/>
          <w:szCs w:val="22"/>
        </w:rPr>
        <w:t xml:space="preserve">Analysis of customer state data joined with orders and payments revealed significant geographic concentration: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Total Revenue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 (Sao Paulo)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41,745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R$ 5,998,226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RJ (Rio de Janeiro)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12,852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R$ 2,144,379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13.4%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 (Minas Gerais)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11,635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R$ 1,872,257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11.7%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5,466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R$ 890,898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5,045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R$ 811,156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Others (22 states)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22,697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R$ 4,292,000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26.7%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Sao Paulo alone accounts for 37.5% of total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Top 3 states (SP, RJ, MG) contribute over 60% of total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22 remaining states collectively contribute only 26.7% - significant untapped market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3.3 Monthly Revenue Trend</w:t>
      </w:r>
    </w:p>
    <w:p>
      <w:pPr>
        <w:spacing w:after="120"/>
      </w:pPr>
      <w:r>
        <w:rPr>
          <w:sz w:val="22"/>
          <w:szCs w:val="22"/>
        </w:rPr>
        <w:t xml:space="preserve">Time-series analysis of monthly revenue revealed strong growth from 2016 to 2018: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Revenue grew approximately 10x from 2016 to 2018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November 2017 recorded the highest monthly revenue (R$ 1,194,882) - Black Friday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Revenue stabilized at approximately R$ 1M+ per month throughout 2018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Slight decline observed towards August 2018 signaling potential market saturation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3.4 Repeat Purchase &amp; Cohort Analysis</w:t>
      </w:r>
    </w:p>
    <w:p>
      <w:pPr>
        <w:spacing w:after="120"/>
      </w:pPr>
      <w:r>
        <w:rPr>
          <w:sz w:val="22"/>
          <w:szCs w:val="22"/>
        </w:rPr>
        <w:t xml:space="preserve">Cohort-based analysis using customer zip code as proxy identifier revealed a critical retention issue: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Repeat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Repeat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2018-Q1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8,810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19,997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226.98%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2018-Q2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8,560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19,084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222.94%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2018-Q3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6,790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12,107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178.31%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Repeat purchase rate peaked at 227% in 2018-Q1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Significant drop of ~23% observed from Q2 to Q3 2018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decline signals a customer retention problem post Q2 2018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Drop correlates with reduced promotional activity after peak season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4. Recommendations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4.1 Address Repeat Purchase Drop (Priority: HIGH)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a targeted loyalty program for customers who purchased in Q1/Q2 2018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Offer 10-15% discount vouchers on next purchase in top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automated email re-engagement campaigns 60 days post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Expected impact: 15% improvement in revenue recovery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4.2 Regional Expansion Strategy (Priority: HIGH)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state-specific promotional campaigns for RS, PR, SC, 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Offer free or discounted shipping for orders from underserved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Partner with regional influencers in target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Expected impact: 10% revenue increase from new regions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4.3 Capitalize on Seasonal Peaks (Priority: MEDIUM)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Start Black Friday promotional campaigns 2 weeks earlier in October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Focus discounts on watches_gifts and computers_accessories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bundle deals combining top categories (bed_bath + housewares)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Expected impact: 20% revenue increase during peak season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4.4 Category-Specific Retention (Priority: MEDIUM)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subscription or bundle deals for bed_bath_table and health_beauty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These categories have high repeat purchase potential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Introduce a product recommendation engine based on purchase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Expected impact: 15% reduction in customer churn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5. Tools &amp; Methodology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storage, SQL JOINs, aggregations, cohort queries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cleaning, missing value handling, cohort analysis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(Matplotlib/Seaborn)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trend charts, category and regional visualizations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Tableau Public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KPI dashboard with 4 visualization sheets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E-Commerce Sales &amp; Revenue Performance Analysis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2026-04-10T05:17:56.916Z</dcterms:created>
  <dcterms:modified xsi:type="dcterms:W3CDTF">2026-04-10T05:17:56.917Z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