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Avance de Cobertura Vacunal Mezquital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 Etario</w:t>
            </w:r>
          </w:p>
        </w:tc>
        <w:tc>
          <w:tcPr>
            <w:tcW w:type="dxa" w:w="2160"/>
          </w:tcPr>
          <w:p>
            <w:r>
              <w:t>Meta (Poblacion)</w:t>
            </w:r>
          </w:p>
        </w:tc>
        <w:tc>
          <w:tcPr>
            <w:tcW w:type="dxa" w:w="2160"/>
          </w:tcPr>
          <w:p>
            <w:r>
              <w:t>Dosis Aplicadas (Total)</w:t>
            </w:r>
          </w:p>
        </w:tc>
        <w:tc>
          <w:tcPr>
            <w:tcW w:type="dxa" w:w="2160"/>
          </w:tcPr>
          <w:p>
            <w:r>
              <w:t>Avance (%)</w:t>
            </w:r>
          </w:p>
        </w:tc>
      </w:tr>
      <w:tr>
        <w:tc>
          <w:tcPr>
            <w:tcW w:type="dxa" w:w="2160"/>
          </w:tcPr>
          <w:p>
            <w:r>
              <w:t>6 a 11 meses</w:t>
            </w:r>
          </w:p>
        </w:tc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344</w:t>
            </w:r>
          </w:p>
        </w:tc>
        <w:tc>
          <w:tcPr>
            <w:tcW w:type="dxa" w:w="2160"/>
          </w:tcPr>
          <w:p>
            <w:r>
              <w:t>51.57%</w:t>
            </w:r>
          </w:p>
        </w:tc>
      </w:tr>
      <w:tr>
        <w:tc>
          <w:tcPr>
            <w:tcW w:type="dxa" w:w="2160"/>
          </w:tcPr>
          <w:p>
            <w:r>
              <w:t>1 año</w:t>
            </w:r>
          </w:p>
        </w:tc>
        <w:tc>
          <w:tcPr>
            <w:tcW w:type="dxa" w:w="2160"/>
          </w:tcPr>
          <w:p>
            <w:r>
              <w:t>1,362</w:t>
            </w:r>
          </w:p>
        </w:tc>
        <w:tc>
          <w:tcPr>
            <w:tcW w:type="dxa" w:w="2160"/>
          </w:tcPr>
          <w:p>
            <w:r>
              <w:t>1,191</w:t>
            </w:r>
          </w:p>
        </w:tc>
        <w:tc>
          <w:tcPr>
            <w:tcW w:type="dxa" w:w="2160"/>
          </w:tcPr>
          <w:p>
            <w:r>
              <w:t>87.44%</w:t>
            </w:r>
          </w:p>
        </w:tc>
      </w:tr>
      <w:tr>
        <w:tc>
          <w:tcPr>
            <w:tcW w:type="dxa" w:w="2160"/>
          </w:tcPr>
          <w:p>
            <w:r>
              <w:t>18 meses</w:t>
            </w:r>
          </w:p>
        </w:tc>
        <w:tc>
          <w:tcPr>
            <w:tcW w:type="dxa" w:w="2160"/>
          </w:tcPr>
          <w:p>
            <w:r>
              <w:t>1,362</w:t>
            </w:r>
          </w:p>
        </w:tc>
        <w:tc>
          <w:tcPr>
            <w:tcW w:type="dxa" w:w="2160"/>
          </w:tcPr>
          <w:p>
            <w:r>
              <w:t>784</w:t>
            </w:r>
          </w:p>
        </w:tc>
        <w:tc>
          <w:tcPr>
            <w:tcW w:type="dxa" w:w="2160"/>
          </w:tcPr>
          <w:p>
            <w:r>
              <w:t>57.58%</w:t>
            </w:r>
          </w:p>
        </w:tc>
      </w:tr>
      <w:tr>
        <w:tc>
          <w:tcPr>
            <w:tcW w:type="dxa" w:w="2160"/>
          </w:tcPr>
          <w:p>
            <w:r>
              <w:t>Rezagados 2 a 12 años</w:t>
            </w:r>
          </w:p>
        </w:tc>
        <w:tc>
          <w:tcPr>
            <w:tcW w:type="dxa" w:w="2160"/>
          </w:tcPr>
          <w:p>
            <w:r>
              <w:t>8,253</w:t>
            </w:r>
          </w:p>
        </w:tc>
        <w:tc>
          <w:tcPr>
            <w:tcW w:type="dxa" w:w="2160"/>
          </w:tcPr>
          <w:p>
            <w:r>
              <w:t>6,998</w:t>
            </w:r>
          </w:p>
        </w:tc>
        <w:tc>
          <w:tcPr>
            <w:tcW w:type="dxa" w:w="2160"/>
          </w:tcPr>
          <w:p>
            <w:r>
              <w:t>84.8%</w:t>
            </w:r>
          </w:p>
        </w:tc>
      </w:tr>
      <w:tr>
        <w:tc>
          <w:tcPr>
            <w:tcW w:type="dxa" w:w="2160"/>
          </w:tcPr>
          <w:p>
            <w:r>
              <w:t>13 a 19 años</w:t>
            </w:r>
          </w:p>
        </w:tc>
        <w:tc>
          <w:tcPr>
            <w:tcW w:type="dxa" w:w="2160"/>
          </w:tcPr>
          <w:p>
            <w:r>
              <w:t>4,770</w:t>
            </w:r>
          </w:p>
        </w:tc>
        <w:tc>
          <w:tcPr>
            <w:tcW w:type="dxa" w:w="2160"/>
          </w:tcPr>
          <w:p>
            <w:r>
              <w:t>1,505</w:t>
            </w:r>
          </w:p>
        </w:tc>
        <w:tc>
          <w:tcPr>
            <w:tcW w:type="dxa" w:w="2160"/>
          </w:tcPr>
          <w:p>
            <w:r>
              <w:t>31.54%</w:t>
            </w:r>
          </w:p>
        </w:tc>
      </w:tr>
      <w:tr>
        <w:tc>
          <w:tcPr>
            <w:tcW w:type="dxa" w:w="2160"/>
          </w:tcPr>
          <w:p>
            <w:r>
              <w:t>20 a 39 años</w:t>
            </w:r>
          </w:p>
        </w:tc>
        <w:tc>
          <w:tcPr>
            <w:tcW w:type="dxa" w:w="2160"/>
          </w:tcPr>
          <w:p>
            <w:r>
              <w:t>7,552</w:t>
            </w:r>
          </w:p>
        </w:tc>
        <w:tc>
          <w:tcPr>
            <w:tcW w:type="dxa" w:w="2160"/>
          </w:tcPr>
          <w:p>
            <w:r>
              <w:t>3,692</w:t>
            </w:r>
          </w:p>
        </w:tc>
        <w:tc>
          <w:tcPr>
            <w:tcW w:type="dxa" w:w="2160"/>
          </w:tcPr>
          <w:p>
            <w:r>
              <w:t>48.89%</w:t>
            </w:r>
          </w:p>
        </w:tc>
      </w:tr>
      <w:tr>
        <w:tc>
          <w:tcPr>
            <w:tcW w:type="dxa" w:w="2160"/>
          </w:tcPr>
          <w:p>
            <w:r>
              <w:t>40 a 49 años</w:t>
            </w:r>
          </w:p>
        </w:tc>
        <w:tc>
          <w:tcPr>
            <w:tcW w:type="dxa" w:w="2160"/>
          </w:tcPr>
          <w:p>
            <w:r>
              <w:t>1,887</w:t>
            </w:r>
          </w:p>
        </w:tc>
        <w:tc>
          <w:tcPr>
            <w:tcW w:type="dxa" w:w="2160"/>
          </w:tcPr>
          <w:p>
            <w:r>
              <w:t>827</w:t>
            </w:r>
          </w:p>
        </w:tc>
        <w:tc>
          <w:tcPr>
            <w:tcW w:type="dxa" w:w="2160"/>
          </w:tcPr>
          <w:p>
            <w:r>
              <w:t>43.83%</w:t>
            </w:r>
          </w:p>
        </w:tc>
      </w:tr>
    </w:tbl>
    <w:p>
      <w:r>
        <w:br/>
        <w:t>Fuente: Estimaciones basadas en CONAPO/CENJSIA 2026 y reportes institucionales SRP-SR.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