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991AA"/>
      </w:pPr>
      <w:r>
        <w:rPr>
          <w:sz w:val="12"/>
        </w:rPr>
        <w:t xml:space="preserve">  </w:t>
      </w:r>
    </w:p>
    <w:p>
      <w:pPr>
        <w:spacing w:before="360" w:after="80"/>
      </w:pPr>
      <w:r>
        <w:rPr>
          <w:rFonts w:ascii="Calibri" w:hAnsi="Calibri"/>
          <w:b/>
          <w:i w:val="0"/>
          <w:color w:val="14475D"/>
          <w:sz w:val="72"/>
        </w:rPr>
        <w:t>Sequor</w:t>
      </w:r>
    </w:p>
    <w:p>
      <w:pPr>
        <w:spacing w:before="0" w:after="40"/>
      </w:pPr>
      <w:r>
        <w:rPr>
          <w:rFonts w:ascii="Calibri" w:hAnsi="Calibri"/>
          <w:b/>
          <w:i w:val="0"/>
          <w:color w:val="2991AA"/>
          <w:sz w:val="44"/>
        </w:rPr>
        <w:t>Pricing Strategy</w:t>
      </w:r>
    </w:p>
    <w:p>
      <w:pPr>
        <w:spacing w:after="40"/>
      </w:pPr>
      <w:r>
        <w:rPr>
          <w:rFonts w:ascii="Calibri" w:hAnsi="Calibri"/>
          <w:b w:val="0"/>
          <w:i/>
          <w:color w:val="8A9EB0"/>
          <w:sz w:val="24"/>
        </w:rPr>
        <w:t>Investor Presentation — May 2026</w:t>
      </w:r>
    </w:p>
    <w:p>
      <w:pPr>
        <w:spacing w:before="80" w:after="320"/>
        <w:pBdr>
          <w:bottom w:val="single" w:sz="6" w:space="1" w:color="AAE5E8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4475D"/>
          <w:sz w:val="32"/>
        </w:rPr>
        <w:t>Executive Summary</w:t>
      </w:r>
    </w:p>
    <w:p>
      <w:pPr>
        <w:spacing w:after="280"/>
      </w:pPr>
      <w:r>
        <w:rPr>
          <w:rFonts w:ascii="Calibri" w:hAnsi="Calibri"/>
          <w:b w:val="0"/>
          <w:i w:val="0"/>
          <w:color w:val="4A5E6E"/>
          <w:sz w:val="22"/>
        </w:rPr>
        <w:t>Sequor uses a four-tier freemium model designed to convert small teams quickly (Free → Solo) while capturing larger teams with compliance and analytics needs (Starter → Pro). Pricing is anchored to value delivered, not headcount alone: the Free tier creates geographic lock-in through the learning loop; the Starter tier is positioned as the default for professional services teams; the Pro tier targets larger teams with compliance obligations. All tiers include WhatsApp + Email, auto-reply AI, and the RAG Document Hub — differentiation lives in escalation controls, audit retention, and support depth.</w:t>
      </w:r>
    </w:p>
    <w:p>
      <w:pPr>
        <w:spacing w:before="80" w:after="160"/>
      </w:pPr>
      <w:r>
        <w:rPr>
          <w:rFonts w:ascii="Calibri" w:hAnsi="Calibri"/>
          <w:b/>
          <w:i w:val="0"/>
          <w:color w:val="14475D"/>
          <w:sz w:val="32"/>
        </w:rPr>
        <w:t>Tier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447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Tier</w:t>
            </w:r>
          </w:p>
        </w:tc>
        <w:tc>
          <w:tcPr>
            <w:tcW w:type="dxa" w:w="3402"/>
            <w:shd w:val="clear" w:color="auto" w:fill="1447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Features</w:t>
            </w:r>
          </w:p>
        </w:tc>
        <w:tc>
          <w:tcPr>
            <w:tcW w:type="dxa" w:w="3118"/>
            <w:shd w:val="clear" w:color="auto" w:fill="1447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551"/>
            <w:shd w:val="clear" w:color="auto" w:fill="1447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Target Customer</w:t>
            </w:r>
          </w:p>
        </w:tc>
      </w:tr>
      <w:tr>
        <w:tc>
          <w:tcPr>
            <w:tcW w:type="dxa" w:w="1984"/>
            <w:shd w:val="clear" w:color="auto" w:fill="F4FBFD"/>
          </w:tcPr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28"/>
              </w:rPr>
              <w:t>Free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44"/>
              </w:rPr>
              <w:t>$0</w:t>
            </w:r>
          </w:p>
          <w:p>
            <w:pPr>
              <w:jc w:val="center"/>
            </w:pPr>
            <w:r>
              <w:rPr>
                <w:rFonts w:ascii="Calibri" w:hAnsi="Calibri"/>
                <w:color w:val="8A9EB0"/>
                <w:sz w:val="20"/>
              </w:rPr>
              <w:t>/month</w:t>
            </w:r>
          </w:p>
        </w:tc>
        <w:tc>
          <w:tcPr>
            <w:tcW w:type="dxa" w:w="3402"/>
            <w:shd w:val="clear" w:color="auto" w:fill="FFFFFF"/>
          </w:tcPr>
          <w:p/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50 messages / month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WhatsApp + Email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Auto-reply AI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RAG Document Hub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1 operator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4A5E6E"/>
                <w:sz w:val="20"/>
              </w:rPr>
              <w:t>Converts curious users into believers at zero cost. The 50-message ceiling is intentional — active teams hit it within days, motivating an upgrade without a hard sales conversation.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4A5E6E"/>
                <w:sz w:val="20"/>
              </w:rPr>
              <w:t>Solo operators, freelancers</w:t>
            </w:r>
          </w:p>
        </w:tc>
      </w:tr>
      <w:tr>
        <w:tc>
          <w:tcPr>
            <w:tcW w:type="dxa" w:w="1984"/>
            <w:shd w:val="clear" w:color="auto" w:fill="D4EAF4"/>
          </w:tcPr>
          <w:p>
            <w:pPr>
              <w:jc w:val="center"/>
            </w:pPr>
            <w:r>
              <w:rPr>
                <w:rFonts w:ascii="Calibri" w:hAnsi="Calibri"/>
                <w:b/>
                <w:color w:val="2991AA"/>
                <w:sz w:val="28"/>
              </w:rPr>
              <w:t>Solo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2991AA"/>
                <w:sz w:val="44"/>
              </w:rPr>
              <w:t>$15</w:t>
            </w:r>
          </w:p>
          <w:p>
            <w:pPr>
              <w:jc w:val="center"/>
            </w:pPr>
            <w:r>
              <w:rPr>
                <w:rFonts w:ascii="Calibri" w:hAnsi="Calibri"/>
                <w:color w:val="8A9EB0"/>
                <w:sz w:val="20"/>
              </w:rPr>
              <w:t>/month</w:t>
            </w:r>
          </w:p>
        </w:tc>
        <w:tc>
          <w:tcPr>
            <w:tcW w:type="dxa" w:w="3402"/>
            <w:shd w:val="clear" w:color="auto" w:fill="F4FBFD"/>
          </w:tcPr>
          <w:p/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200 messages / month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Auto-reply + RAG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30-day message history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1 operator</w:t>
            </w:r>
          </w:p>
        </w:tc>
        <w:tc>
          <w:tcPr>
            <w:tcW w:type="dxa" w:w="3118"/>
            <w:shd w:val="clear" w:color="auto" w:fill="F4FBFD"/>
          </w:tcPr>
          <w:p>
            <w:r>
              <w:rPr>
                <w:rFonts w:ascii="Calibri" w:hAnsi="Calibri"/>
                <w:color w:val="4A5E6E"/>
                <w:sz w:val="20"/>
              </w:rPr>
              <w:t>Targets the solo consultant or freelancer who represents the majority of SE Asian micro-businesses. 200 messages is enough for active practitioners while staying well below the threshold that makes Slack/WHATSAPP worthwhile. 30-day history prevents the 'where did that conversation go?' frustration that drives churn on free tiers.</w:t>
            </w:r>
          </w:p>
        </w:tc>
        <w:tc>
          <w:tcPr>
            <w:tcW w:type="dxa" w:w="2551"/>
            <w:shd w:val="clear" w:color="auto" w:fill="F4FBFD"/>
          </w:tcPr>
          <w:p>
            <w:r>
              <w:rPr>
                <w:rFonts w:ascii="Calibri" w:hAnsi="Calibri"/>
                <w:color w:val="4A5E6E"/>
                <w:sz w:val="20"/>
              </w:rPr>
              <w:t>Active 1-person businesses</w:t>
            </w:r>
          </w:p>
        </w:tc>
      </w:tr>
      <w:tr>
        <w:tc>
          <w:tcPr>
            <w:tcW w:type="dxa" w:w="1984"/>
            <w:shd w:val="clear" w:color="auto" w:fill="D4EA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75A73"/>
                <w:sz w:val="28"/>
              </w:rPr>
              <w:t>Starter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5A73"/>
                <w:sz w:val="44"/>
              </w:rPr>
              <w:t>$35</w:t>
            </w:r>
          </w:p>
          <w:p>
            <w:pPr>
              <w:jc w:val="center"/>
            </w:pPr>
            <w:r>
              <w:rPr>
                <w:rFonts w:ascii="Calibri" w:hAnsi="Calibri"/>
                <w:color w:val="8A9EB0"/>
                <w:sz w:val="20"/>
              </w:rPr>
              <w:t>/month</w:t>
            </w:r>
          </w:p>
          <w:p>
            <w:pPr>
              <w:jc w:val="center"/>
              <w:shd w:val="clear" w:color="auto" w:fill="2991AA"/>
            </w:pPr>
            <w:r>
              <w:rPr>
                <w:rFonts w:ascii="Calibri" w:hAnsi="Calibri"/>
                <w:b/>
                <w:color w:val="FFFFFF"/>
                <w:sz w:val="16"/>
              </w:rPr>
              <w:t>Most Popular</w:t>
            </w:r>
          </w:p>
        </w:tc>
        <w:tc>
          <w:tcPr>
            <w:tcW w:type="dxa" w:w="3402"/>
            <w:shd w:val="clear" w:color="auto" w:fill="FFFFFF"/>
          </w:tcPr>
          <w:p/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Unlimited messages*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Smart Escalations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PDPA audit trail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Up to 3 operators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Priority support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4A5E6E"/>
                <w:sz w:val="20"/>
              </w:rPr>
              <w:t>The core revenue tier. Targets 3–5 person professional services teams (consultants, agencies, law firms, accounting practices) — the exact profile that suffers most from coverage gaps and can afford $35/seat. Smart Escalations justify the jump from Solo by solving a real pain: VIP contacts and refund threats that slip through without routing. PDPA audit trail is a near-mandatory requirement for Singapore-based firms. Unlimited messages removes a friction point that constantly nags at $15 tier users.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4A5E6E"/>
                <w:sz w:val="20"/>
              </w:rPr>
              <w:t>3–5 person professional services teams</w:t>
            </w:r>
          </w:p>
        </w:tc>
      </w:tr>
      <w:tr>
        <w:tc>
          <w:tcPr>
            <w:tcW w:type="dxa" w:w="1984"/>
            <w:shd w:val="clear" w:color="auto" w:fill="AAE5E8"/>
          </w:tcPr>
          <w:p>
            <w:pPr>
              <w:jc w:val="center"/>
            </w:pPr>
            <w:r>
              <w:rPr>
                <w:rFonts w:ascii="Calibri" w:hAnsi="Calibri"/>
                <w:b/>
                <w:color w:val="14475D"/>
                <w:sz w:val="28"/>
              </w:rPr>
              <w:t>Pro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4475D"/>
                <w:sz w:val="44"/>
              </w:rPr>
              <w:t>$55</w:t>
            </w:r>
          </w:p>
          <w:p>
            <w:pPr>
              <w:jc w:val="center"/>
            </w:pPr>
            <w:r>
              <w:rPr>
                <w:rFonts w:ascii="Calibri" w:hAnsi="Calibri"/>
                <w:color w:val="8A9EB0"/>
                <w:sz w:val="20"/>
              </w:rPr>
              <w:t>/month</w:t>
            </w:r>
          </w:p>
        </w:tc>
        <w:tc>
          <w:tcPr>
            <w:tcW w:type="dxa" w:w="3402"/>
            <w:shd w:val="clear" w:color="auto" w:fill="F4FBFD"/>
          </w:tcPr>
          <w:p/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Unlimited everything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Advanced analytics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Custom key phrase maps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PDPA compliance report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4A5E6E"/>
                <w:sz w:val="20"/>
              </w:rPr>
              <w:t>• Dedicated support</w:t>
            </w:r>
          </w:p>
        </w:tc>
        <w:tc>
          <w:tcPr>
            <w:tcW w:type="dxa" w:w="3118"/>
            <w:shd w:val="clear" w:color="auto" w:fill="F4FBFD"/>
          </w:tcPr>
          <w:p>
            <w:r>
              <w:rPr>
                <w:rFonts w:ascii="Calibri" w:hAnsi="Calibri"/>
                <w:color w:val="4A5E6E"/>
                <w:sz w:val="20"/>
              </w:rPr>
              <w:t>Targets larger professional services firms (10+ seats) or regulated industries where the PDPA compliance report and custom routing rules are non-negotiable requirements, not nice-to-haves. At $55/seat for a 5-person team, the $275/month ACV is credible for sales-assisted motion. Custom key phrase maps allow operators to encode firm-specific escalation rules — a direct productivity multiplier that justifies the price premium over Starter.</w:t>
            </w:r>
          </w:p>
        </w:tc>
        <w:tc>
          <w:tcPr>
            <w:tcW w:type="dxa" w:w="2551"/>
            <w:shd w:val="clear" w:color="auto" w:fill="F4FBFD"/>
          </w:tcPr>
          <w:p>
            <w:r>
              <w:rPr>
                <w:rFonts w:ascii="Calibri" w:hAnsi="Calibri"/>
                <w:color w:val="4A5E6E"/>
                <w:sz w:val="20"/>
              </w:rPr>
              <w:t>Larger or regulated firms (10+ seats)</w:t>
            </w:r>
          </w:p>
        </w:tc>
      </w:tr>
    </w:tbl>
    <w:p/>
    <w:p>
      <w:pPr>
        <w:spacing w:before="200" w:after="160"/>
      </w:pPr>
      <w:r>
        <w:rPr>
          <w:rFonts w:ascii="Calibri" w:hAnsi="Calibri"/>
          <w:b/>
          <w:i w:val="0"/>
          <w:color w:val="14475D"/>
          <w:sz w:val="32"/>
        </w:rPr>
        <w:t>Pricing Philosophy</w:t>
      </w:r>
    </w:p>
    <w:p>
      <w:pPr>
        <w:spacing w:before="120" w:after="40"/>
      </w:pPr>
      <w:r>
        <w:rPr>
          <w:rFonts w:ascii="Calibri" w:hAnsi="Calibri"/>
          <w:b/>
          <w:i w:val="0"/>
          <w:color w:val="175A73"/>
          <w:sz w:val="22"/>
        </w:rPr>
        <w:t xml:space="preserve">• Anchor to pain, not cost: </w:t>
      </w:r>
      <w:r>
        <w:rPr>
          <w:rFonts w:ascii="Calibri" w:hAnsi="Calibri"/>
          <w:b w:val="0"/>
          <w:i w:val="0"/>
          <w:color w:val="4A5E6E"/>
          <w:sz w:val="22"/>
        </w:rPr>
        <w:t>Teams pay to avoid the pain of missing a client message. The right price is whatever is less than the expected revenue loss from one missed escalation.</w:t>
      </w:r>
    </w:p>
    <w:p>
      <w:pPr>
        <w:spacing w:before="120" w:after="40"/>
      </w:pPr>
      <w:r>
        <w:rPr>
          <w:rFonts w:ascii="Calibri" w:hAnsi="Calibri"/>
          <w:b/>
          <w:i w:val="0"/>
          <w:color w:val="175A73"/>
          <w:sz w:val="22"/>
        </w:rPr>
        <w:t xml:space="preserve">• Freemium as acquisition, not revenue: </w:t>
      </w:r>
      <w:r>
        <w:rPr>
          <w:rFonts w:ascii="Calibri" w:hAnsi="Calibri"/>
          <w:b w:val="0"/>
          <w:i w:val="0"/>
          <w:color w:val="4A5E6E"/>
          <w:sz w:val="22"/>
        </w:rPr>
        <w:t>The Free tier is a customer acquisition channel, not a revenue line. Every free user is a future upsell candidate with demonstrated intent.</w:t>
      </w:r>
    </w:p>
    <w:p>
      <w:pPr>
        <w:spacing w:before="120" w:after="40"/>
      </w:pPr>
      <w:r>
        <w:rPr>
          <w:rFonts w:ascii="Calibri" w:hAnsi="Calibri"/>
          <w:b/>
          <w:i w:val="0"/>
          <w:color w:val="175A73"/>
          <w:sz w:val="22"/>
        </w:rPr>
        <w:t xml:space="preserve">• Per-seat keeps alignment: </w:t>
      </w:r>
      <w:r>
        <w:rPr>
          <w:rFonts w:ascii="Calibri" w:hAnsi="Calibri"/>
          <w:b w:val="0"/>
          <w:i w:val="0"/>
          <w:color w:val="4A5E6E"/>
          <w:sz w:val="22"/>
        </w:rPr>
        <w:t>Pricing per seat aligns Sequor's revenue with the customer's team growth. Larger teams pay more because they get more value.</w:t>
      </w:r>
    </w:p>
    <w:p>
      <w:pPr>
        <w:spacing w:before="120" w:after="40"/>
      </w:pPr>
      <w:r>
        <w:rPr>
          <w:rFonts w:ascii="Calibri" w:hAnsi="Calibri"/>
          <w:b/>
          <w:i w:val="0"/>
          <w:color w:val="175A73"/>
          <w:sz w:val="22"/>
        </w:rPr>
        <w:t xml:space="preserve">• Unlimited removes friction: </w:t>
      </w:r>
      <w:r>
        <w:rPr>
          <w:rFonts w:ascii="Calibri" w:hAnsi="Calibri"/>
          <w:b w:val="0"/>
          <w:i w:val="0"/>
          <w:color w:val="4A5E6E"/>
          <w:sz w:val="22"/>
        </w:rPr>
        <w:t>Once users are thinking about message counts, they're not thinking about their actual workflow. Unlimited on Starter+ removes a constant anxiety that drives churn on metered plans.</w:t>
      </w:r>
    </w:p>
    <w:p>
      <w:pPr>
        <w:spacing w:before="120" w:after="40"/>
      </w:pPr>
      <w:r>
        <w:rPr>
          <w:rFonts w:ascii="Calibri" w:hAnsi="Calibri"/>
          <w:b/>
          <w:i w:val="0"/>
          <w:color w:val="175A73"/>
          <w:sz w:val="22"/>
        </w:rPr>
        <w:t xml:space="preserve">• Compliance is a premium feature: </w:t>
      </w:r>
      <w:r>
        <w:rPr>
          <w:rFonts w:ascii="Calibri" w:hAnsi="Calibri"/>
          <w:b w:val="0"/>
          <w:i w:val="0"/>
          <w:color w:val="4A5E6E"/>
          <w:sz w:val="22"/>
        </w:rPr>
        <w:t>Teams with genuine PDPA obligations (legal, medical, financial) treat audit trails and compliance reports as infrastructure costs, not optional upgrades. Pro pricing reflects this.</w:t>
      </w:r>
    </w:p>
    <w:p/>
    <w:p>
      <w:pPr>
        <w:spacing w:before="160"/>
      </w:pPr>
      <w:r>
        <w:rPr>
          <w:rFonts w:ascii="Calibri" w:hAnsi="Calibri"/>
          <w:b w:val="0"/>
          <w:i/>
          <w:color w:val="8A9EB0"/>
          <w:sz w:val="20"/>
        </w:rPr>
        <w:t>* Message fair-use limits at 3× the plan average. Enterprise pricing available on request — contact us for custom quotes.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