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480"/>
        <w:jc w:val="left"/>
        <w:rPr>
          <w:rFonts w:cs="Times New Roman"/>
        </w:rPr>
      </w:pPr>
      <w:r>
        <w:rPr>
          <w:rFonts w:cs="Times New Roman"/>
        </w:rPr>
        <w:t>Supplementary material</w:t>
      </w:r>
    </w:p>
    <w:p>
      <w:pPr>
        <w:pStyle w:val="Normal"/>
        <w:bidi w:val="0"/>
        <w:spacing w:lineRule="auto" w:line="480"/>
        <w:jc w:val="left"/>
        <w:rPr/>
      </w:pPr>
      <w:r>
        <w:rPr>
          <w:rFonts w:cs="Times New Roman"/>
        </w:rPr>
        <w:t>Table A1: Variable loadings and correlations</w:t>
      </w:r>
      <w:r>
        <w:rPr>
          <w:rFonts w:eastAsia="Times New Roman" w:cs="Times New Roman"/>
          <w:sz w:val="23"/>
          <w:szCs w:val="23"/>
        </w:rPr>
        <w:t xml:space="preserve"> between each variable and the two axes of a </w:t>
      </w:r>
      <w:r>
        <w:rPr>
          <w:rFonts w:eastAsia="Times New Roman" w:cs="Times New Roman"/>
          <w:szCs w:val="23"/>
        </w:rPr>
        <w:t xml:space="preserve">principal component analysis (PCA) performed on soil temperature and soil moisture. </w:t>
      </w:r>
    </w:p>
    <w:tbl>
      <w:tblPr>
        <w:tblW w:w="6588" w:type="dxa"/>
        <w:jc w:val="left"/>
        <w:tblInd w:w="165" w:type="dxa"/>
        <w:tblCellMar>
          <w:top w:w="55" w:type="dxa"/>
          <w:left w:w="55" w:type="dxa"/>
          <w:bottom w:w="55" w:type="dxa"/>
          <w:right w:w="55" w:type="dxa"/>
        </w:tblCellMar>
        <w:tblLook w:firstRow="1" w:noVBand="1" w:lastRow="0" w:firstColumn="1" w:lastColumn="0" w:noHBand="0" w:val="04a0"/>
      </w:tblPr>
      <w:tblGrid>
        <w:gridCol w:w="1963"/>
        <w:gridCol w:w="981"/>
        <w:gridCol w:w="1242"/>
        <w:gridCol w:w="968"/>
        <w:gridCol w:w="1434"/>
      </w:tblGrid>
      <w:tr>
        <w:trPr/>
        <w:tc>
          <w:tcPr>
            <w:tcW w:w="1963" w:type="dxa"/>
            <w:vMerge w:val="restart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Contenidodelatabla"/>
              <w:bidi w:val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Variables</w:t>
            </w:r>
          </w:p>
        </w:tc>
        <w:tc>
          <w:tcPr>
            <w:tcW w:w="2223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  <w:p>
            <w:pPr>
              <w:pStyle w:val="Contenidodelatabla"/>
              <w:bidi w:val="0"/>
              <w:jc w:val="center"/>
              <w:rPr/>
            </w:pPr>
            <w:r>
              <w:rPr>
                <w:rFonts w:cs="Times New Roman"/>
              </w:rPr>
              <w:t xml:space="preserve">Eigenvalue = </w:t>
            </w:r>
            <w:bookmarkStart w:id="0" w:name="rstudio_console_output"/>
            <w:bookmarkEnd w:id="0"/>
            <w:r>
              <w:rPr>
                <w:rFonts w:cs="Times New Roman"/>
              </w:rPr>
              <w:t>1.369</w:t>
            </w:r>
          </w:p>
        </w:tc>
        <w:tc>
          <w:tcPr>
            <w:tcW w:w="2402" w:type="dxa"/>
            <w:gridSpan w:val="2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Contenidodelatabla"/>
              <w:bidi w:val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  <w:p>
            <w:pPr>
              <w:pStyle w:val="Contenidodelatabla"/>
              <w:bidi w:val="0"/>
              <w:jc w:val="center"/>
              <w:rPr/>
            </w:pPr>
            <w:r>
              <w:rPr>
                <w:rFonts w:cs="Times New Roman"/>
              </w:rPr>
              <w:t xml:space="preserve">Eigenvalue = </w:t>
            </w:r>
            <w:bookmarkStart w:id="1" w:name="rstudio_console_output1"/>
            <w:bookmarkEnd w:id="1"/>
            <w:r>
              <w:rPr>
                <w:rFonts w:cs="Times New Roman"/>
              </w:rPr>
              <w:t>0.631</w:t>
            </w:r>
          </w:p>
        </w:tc>
      </w:tr>
      <w:tr>
        <w:trPr/>
        <w:tc>
          <w:tcPr>
            <w:tcW w:w="1963" w:type="dxa"/>
            <w:vMerge w:val="continue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981" w:type="dxa"/>
            <w:tcBorders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nidodelatabla"/>
              <w:bidi w:val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Loading</w:t>
            </w:r>
          </w:p>
        </w:tc>
        <w:tc>
          <w:tcPr>
            <w:tcW w:w="1242" w:type="dxa"/>
            <w:tcBorders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nidodelatabla"/>
              <w:bidi w:val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Correlation</w:t>
            </w:r>
          </w:p>
        </w:tc>
        <w:tc>
          <w:tcPr>
            <w:tcW w:w="968" w:type="dxa"/>
            <w:tcBorders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nidodelatabla"/>
              <w:bidi w:val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Loading</w:t>
            </w:r>
          </w:p>
        </w:tc>
        <w:tc>
          <w:tcPr>
            <w:tcW w:w="1434" w:type="dxa"/>
            <w:tcBorders>
              <w:bottom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Contenidodelatabla"/>
              <w:bidi w:val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Correlation</w:t>
            </w:r>
          </w:p>
        </w:tc>
      </w:tr>
      <w:tr>
        <w:trPr/>
        <w:tc>
          <w:tcPr>
            <w:tcW w:w="1963" w:type="dxa"/>
            <w:tcBorders/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Normal"/>
              <w:bidi w:val="0"/>
              <w:spacing w:lineRule="auto" w:line="480"/>
              <w:jc w:val="left"/>
              <w:rPr/>
            </w:pPr>
            <w:r>
              <w:rPr>
                <w:rFonts w:eastAsia="Times New Roman" w:cs="Times New Roman"/>
              </w:rPr>
              <w:t xml:space="preserve"> </w:t>
            </w:r>
            <w:r>
              <w:rPr>
                <w:rFonts w:cs="Times New Roman"/>
              </w:rPr>
              <w:t>Soil temperature</w:t>
            </w:r>
          </w:p>
        </w:tc>
        <w:tc>
          <w:tcPr>
            <w:tcW w:w="981" w:type="dxa"/>
            <w:tcBorders>
              <w:top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Normal"/>
              <w:bidi w:val="0"/>
              <w:jc w:val="center"/>
              <w:rPr/>
            </w:pPr>
            <w:r>
              <w:rPr/>
              <w:t>0.707</w:t>
            </w:r>
          </w:p>
        </w:tc>
        <w:tc>
          <w:tcPr>
            <w:tcW w:w="1242" w:type="dxa"/>
            <w:tcBorders>
              <w:top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Normal"/>
              <w:bidi w:val="0"/>
              <w:jc w:val="center"/>
              <w:rPr/>
            </w:pPr>
            <w:r>
              <w:rPr/>
              <w:t>0.827</w:t>
            </w:r>
          </w:p>
        </w:tc>
        <w:tc>
          <w:tcPr>
            <w:tcW w:w="968" w:type="dxa"/>
            <w:tcBorders>
              <w:top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Normal"/>
              <w:bidi w:val="0"/>
              <w:jc w:val="center"/>
              <w:rPr/>
            </w:pPr>
            <w:bookmarkStart w:id="2" w:name="rstudio_console_output4"/>
            <w:bookmarkEnd w:id="2"/>
            <w:r>
              <w:rPr/>
              <w:t>0.707</w:t>
            </w:r>
          </w:p>
        </w:tc>
        <w:tc>
          <w:tcPr>
            <w:tcW w:w="1434" w:type="dxa"/>
            <w:tcBorders>
              <w:top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pStyle w:val="Normal"/>
              <w:bidi w:val="0"/>
              <w:jc w:val="center"/>
              <w:rPr/>
            </w:pPr>
            <w:r>
              <w:rPr/>
              <w:t>0.562</w:t>
            </w:r>
          </w:p>
        </w:tc>
      </w:tr>
      <w:tr>
        <w:trPr/>
        <w:tc>
          <w:tcPr>
            <w:tcW w:w="1963" w:type="dxa"/>
            <w:tcBorders>
              <w:bottom w:val="single" w:sz="2" w:space="0" w:color="000000"/>
            </w:tcBorders>
          </w:tcPr>
          <w:p>
            <w:pPr>
              <w:pStyle w:val="Contenidodelatabla"/>
              <w:bidi w:val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Soil moisture</w:t>
            </w:r>
          </w:p>
        </w:tc>
        <w:tc>
          <w:tcPr>
            <w:tcW w:w="981" w:type="dxa"/>
            <w:tcBorders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/>
            </w:pPr>
            <w:bookmarkStart w:id="3" w:name="rstudio_console_output3"/>
            <w:bookmarkEnd w:id="3"/>
            <w:r>
              <w:rPr/>
              <w:t>-0.707</w:t>
            </w:r>
          </w:p>
        </w:tc>
        <w:tc>
          <w:tcPr>
            <w:tcW w:w="1242" w:type="dxa"/>
            <w:tcBorders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/>
            </w:pPr>
            <w:r>
              <w:rPr/>
              <w:t>-0.827</w:t>
            </w:r>
          </w:p>
        </w:tc>
        <w:tc>
          <w:tcPr>
            <w:tcW w:w="968" w:type="dxa"/>
            <w:tcBorders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/>
            </w:pPr>
            <w:bookmarkStart w:id="4" w:name="rstudio_console_output5"/>
            <w:bookmarkEnd w:id="4"/>
            <w:r>
              <w:rPr/>
              <w:t>0.707</w:t>
            </w:r>
          </w:p>
        </w:tc>
        <w:tc>
          <w:tcPr>
            <w:tcW w:w="1434" w:type="dxa"/>
            <w:tcBorders>
              <w:bottom w:val="single" w:sz="2" w:space="0" w:color="000000"/>
            </w:tcBorders>
          </w:tcPr>
          <w:p>
            <w:pPr>
              <w:pStyle w:val="Normal"/>
              <w:bidi w:val="0"/>
              <w:jc w:val="center"/>
              <w:rPr/>
            </w:pPr>
            <w:r>
              <w:rPr/>
              <w:t>0.562</w:t>
            </w:r>
          </w:p>
        </w:tc>
      </w:tr>
    </w:tbl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</w:sectPr>
        <w:pStyle w:val="Cuerpodetexto"/>
        <w:bidi w:val="0"/>
        <w:jc w:val="left"/>
        <w:rPr/>
      </w:pPr>
      <w:r>
        <w:rPr/>
        <w:br/>
      </w:r>
    </w:p>
    <w:p>
      <w:pPr>
        <w:pStyle w:val="Normal"/>
        <w:bidi w:val="0"/>
        <w:spacing w:lineRule="auto" w:line="480"/>
        <w:jc w:val="left"/>
        <w:rPr/>
      </w:pPr>
      <w:r>
        <w:rPr>
          <w:rFonts w:cs="Times New Roman"/>
        </w:rPr>
        <w:t xml:space="preserve">Table A2: Results of a piecewise structural equation model (piecewise SEM) examining the relationships among microclimate (first and second axes of a PCA </w:t>
      </w:r>
      <w:r>
        <w:rPr>
          <w:rFonts w:eastAsia="Times New Roman" w:cs="Times New Roman"/>
          <w:szCs w:val="23"/>
        </w:rPr>
        <w:t>performed on soil temperature and soil moisture</w:t>
      </w:r>
      <w:r>
        <w:rPr>
          <w:rFonts w:cs="Times New Roman"/>
        </w:rPr>
        <w:t xml:space="preserve">), </w:t>
      </w:r>
      <w:r>
        <w:rPr>
          <w:rFonts w:cs="Times New Roman"/>
          <w:i/>
          <w:iCs/>
        </w:rPr>
        <w:t>G. pneumonanthe</w:t>
      </w:r>
      <w:r>
        <w:rPr>
          <w:rFonts w:cs="Times New Roman"/>
        </w:rPr>
        <w:t xml:space="preserve"> phenology and context (host ant abundance, density and phenology of neighboring host plants), occurrence of seed predation by </w:t>
      </w:r>
      <w:r>
        <w:rPr>
          <w:rFonts w:cs="Times New Roman"/>
          <w:i/>
          <w:iCs/>
        </w:rPr>
        <w:t>P. alcon</w:t>
      </w:r>
      <w:r>
        <w:rPr>
          <w:rFonts w:cs="Times New Roman"/>
        </w:rPr>
        <w:t xml:space="preserve">, and </w:t>
      </w:r>
      <w:r>
        <w:rPr>
          <w:rFonts w:cs="Times New Roman"/>
          <w:i/>
          <w:iCs/>
        </w:rPr>
        <w:t>G. pneumonanthe</w:t>
      </w:r>
      <w:r>
        <w:rPr>
          <w:rFonts w:cs="Times New Roman"/>
        </w:rPr>
        <w:t xml:space="preserve"> reproductive performance</w:t>
      </w:r>
      <w:r>
        <w:rPr>
          <w:rFonts w:eastAsia="Adobe Garamond Pro" w:cs="Adobe Garamond Pro" w:ascii="Adobe Garamond Pro" w:hAnsi="Adobe Garamond Pro"/>
          <w:color w:val="000000"/>
          <w:sz w:val="19"/>
          <w:szCs w:val="19"/>
        </w:rPr>
        <w:t xml:space="preserve"> </w:t>
      </w:r>
      <w:r>
        <w:rPr>
          <w:rFonts w:cs="Times New Roman"/>
        </w:rPr>
        <w:t xml:space="preserve">(number of seeds per flower). </w:t>
      </w:r>
      <w:r>
        <w:rPr/>
        <w:t xml:space="preserve">All significant and non-significant predictors are shown. Pairs of variables with correlated errors (i.e. those not considered causal but which had a significant correlation) are denoted by ~~. </w:t>
      </w:r>
    </w:p>
    <w:tbl>
      <w:tblPr>
        <w:tblW w:w="13575" w:type="dxa"/>
        <w:jc w:val="left"/>
        <w:tblInd w:w="32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19"/>
        <w:gridCol w:w="4109"/>
        <w:gridCol w:w="1986"/>
        <w:gridCol w:w="1416"/>
        <w:gridCol w:w="1845"/>
        <w:gridCol w:w="991"/>
        <w:gridCol w:w="708"/>
      </w:tblGrid>
      <w:tr>
        <w:trPr>
          <w:trHeight w:val="170" w:hRule="atLeast"/>
        </w:trPr>
        <w:tc>
          <w:tcPr>
            <w:tcW w:w="251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Response</w:t>
            </w:r>
          </w:p>
        </w:tc>
        <w:tc>
          <w:tcPr>
            <w:tcW w:w="41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Predictor</w:t>
            </w:r>
          </w:p>
        </w:tc>
        <w:tc>
          <w:tcPr>
            <w:tcW w:w="1986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Unstandardized path coefficient</w:t>
            </w:r>
          </w:p>
        </w:tc>
        <w:tc>
          <w:tcPr>
            <w:tcW w:w="1416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Standard error</w:t>
            </w:r>
          </w:p>
        </w:tc>
        <w:tc>
          <w:tcPr>
            <w:tcW w:w="184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Standardized path coefficient</w:t>
            </w:r>
          </w:p>
        </w:tc>
        <w:tc>
          <w:tcPr>
            <w:tcW w:w="99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</w:t>
            </w:r>
          </w:p>
        </w:tc>
        <w:tc>
          <w:tcPr>
            <w:tcW w:w="70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/>
            </w:pPr>
            <w:r>
              <w:rPr>
                <w:rFonts w:cs="Times New Roman"/>
              </w:rPr>
              <w:t>R</w:t>
            </w:r>
            <w:r>
              <w:rPr>
                <w:rFonts w:cs="Times New Roman"/>
                <w:vertAlign w:val="superscript"/>
              </w:rPr>
              <w:t>2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restart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Plant phenology</w:t>
            </w:r>
          </w:p>
        </w:tc>
        <w:tc>
          <w:tcPr>
            <w:tcW w:w="410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0.266</w:t>
            </w:r>
          </w:p>
        </w:tc>
        <w:tc>
          <w:tcPr>
            <w:tcW w:w="141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0.013</w:t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0.378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0.11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-0.534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0.020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-0.385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Ant abundance</w:t>
            </w:r>
          </w:p>
        </w:tc>
        <w:tc>
          <w:tcPr>
            <w:tcW w:w="410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0.525</w:t>
            </w:r>
          </w:p>
        </w:tc>
        <w:tc>
          <w:tcPr>
            <w:tcW w:w="141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0.026</w:t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0.106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0.04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-0.007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0.037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-0.026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0.847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Neighbor density</w:t>
            </w:r>
          </w:p>
        </w:tc>
        <w:tc>
          <w:tcPr>
            <w:tcW w:w="410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-2.858</w:t>
            </w:r>
          </w:p>
        </w:tc>
        <w:tc>
          <w:tcPr>
            <w:tcW w:w="141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0.083</w:t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-0.424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0.42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8.720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0.122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0.670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Neighbor phenology</w:t>
            </w:r>
          </w:p>
        </w:tc>
        <w:tc>
          <w:tcPr>
            <w:tcW w:w="410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0.264</w:t>
            </w:r>
          </w:p>
        </w:tc>
        <w:tc>
          <w:tcPr>
            <w:tcW w:w="141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0.003</w:t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0.598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0.67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-0.535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0.005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-0.628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Egg occurrence</w:t>
            </w:r>
          </w:p>
        </w:tc>
        <w:tc>
          <w:tcPr>
            <w:tcW w:w="410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Plant phenology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0.865</w:t>
            </w:r>
          </w:p>
        </w:tc>
        <w:tc>
          <w:tcPr>
            <w:tcW w:w="141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0.051</w:t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0.291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0.45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Ant abundance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-0.184</w:t>
            </w:r>
          </w:p>
        </w:tc>
        <w:tc>
          <w:tcPr>
            <w:tcW w:w="141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0.095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-0.130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0.053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Neighbor density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0.090</w:t>
            </w:r>
          </w:p>
        </w:tc>
        <w:tc>
          <w:tcPr>
            <w:tcW w:w="141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0.045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0.283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0.050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Neighbor phenology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-0.105</w:t>
            </w:r>
          </w:p>
        </w:tc>
        <w:tc>
          <w:tcPr>
            <w:tcW w:w="141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0.120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-0.023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0.383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0.255</w:t>
            </w:r>
          </w:p>
        </w:tc>
        <w:tc>
          <w:tcPr>
            <w:tcW w:w="141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0.043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0.120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0.695</w:t>
            </w:r>
          </w:p>
        </w:tc>
        <w:tc>
          <w:tcPr>
            <w:tcW w:w="141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0.078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0.169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>
                <w:rFonts w:cs="Times New Roman"/>
              </w:rPr>
              <w:t xml:space="preserve">Plant phenology </w:t>
            </w:r>
            <w:r>
              <w:rPr>
                <w:rFonts w:eastAsia="Symbol" w:cs="Symbol" w:ascii="Symbol" w:hAnsi="Symbol"/>
                <w:color w:val="000000"/>
              </w:rPr>
              <w:t></w:t>
            </w:r>
            <w:r>
              <w:rPr>
                <w:rFonts w:eastAsia="Symbol" w:cs="Times New Roman"/>
                <w:color w:val="000000"/>
              </w:rPr>
              <w:t>Ant abundance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0.045</w:t>
            </w:r>
          </w:p>
        </w:tc>
        <w:tc>
          <w:tcPr>
            <w:tcW w:w="141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0.019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0.042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0.012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>
                <w:rFonts w:cs="Times New Roman"/>
              </w:rPr>
              <w:t xml:space="preserve">Neighbor density </w:t>
            </w:r>
            <w:r>
              <w:rPr>
                <w:rFonts w:eastAsia="Symbol" w:cs="Symbol" w:ascii="Symbol" w:hAnsi="Symbol"/>
                <w:color w:val="000000"/>
              </w:rPr>
              <w:t></w:t>
            </w:r>
            <w:r>
              <w:rPr>
                <w:rFonts w:eastAsia="Symbol" w:cs="Times New Roman"/>
                <w:color w:val="000000"/>
              </w:rPr>
              <w:t>Neighbor phenology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-0.070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0.012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-0.238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Seeds per flower</w:t>
            </w:r>
          </w:p>
        </w:tc>
        <w:tc>
          <w:tcPr>
            <w:tcW w:w="410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Plant phenology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14.770</w:t>
            </w:r>
          </w:p>
        </w:tc>
        <w:tc>
          <w:tcPr>
            <w:tcW w:w="1416" w:type="dxa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9.603</w:t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0.068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0.125</w:t>
            </w:r>
          </w:p>
        </w:tc>
        <w:tc>
          <w:tcPr>
            <w:tcW w:w="708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0.19</w:t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Egg occurrence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-197.745</w:t>
            </w:r>
          </w:p>
        </w:tc>
        <w:tc>
          <w:tcPr>
            <w:tcW w:w="1416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20.692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-0.435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PC1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-5.039</w:t>
            </w:r>
          </w:p>
        </w:tc>
        <w:tc>
          <w:tcPr>
            <w:tcW w:w="1416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6.938</w:t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-0.032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0.468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410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PC2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-12.127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12.996</w:t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-0.040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0.351</w:t>
            </w:r>
          </w:p>
        </w:tc>
        <w:tc>
          <w:tcPr>
            <w:tcW w:w="708" w:type="dxa"/>
            <w:vMerge w:val="continue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</w:tr>
      <w:tr>
        <w:trPr>
          <w:trHeight w:val="170" w:hRule="atLeast"/>
        </w:trPr>
        <w:tc>
          <w:tcPr>
            <w:tcW w:w="2519" w:type="dxa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Neighbor phenology</w:t>
            </w:r>
          </w:p>
        </w:tc>
        <w:tc>
          <w:tcPr>
            <w:tcW w:w="4109" w:type="dxa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Neighbor density</w:t>
            </w:r>
          </w:p>
        </w:tc>
        <w:tc>
          <w:tcPr>
            <w:tcW w:w="1986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-0.143</w:t>
            </w:r>
          </w:p>
        </w:tc>
        <w:tc>
          <w:tcPr>
            <w:tcW w:w="1416" w:type="dxa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1845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-0.143</w:t>
            </w:r>
          </w:p>
        </w:tc>
        <w:tc>
          <w:tcPr>
            <w:tcW w:w="991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tcBorders>
              <w:top w:val="single" w:sz="4" w:space="0" w:color="000000"/>
            </w:tcBorders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170" w:hRule="atLeast"/>
        </w:trPr>
        <w:tc>
          <w:tcPr>
            <w:tcW w:w="251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Plant phenology</w:t>
            </w:r>
          </w:p>
        </w:tc>
        <w:tc>
          <w:tcPr>
            <w:tcW w:w="4109" w:type="dxa"/>
            <w:tcBorders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Neighbor phenology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0.236</w:t>
            </w:r>
          </w:p>
        </w:tc>
        <w:tc>
          <w:tcPr>
            <w:tcW w:w="1416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0.236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170" w:hRule="atLeast"/>
        </w:trPr>
        <w:tc>
          <w:tcPr>
            <w:tcW w:w="2519" w:type="dxa"/>
            <w:tcBorders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Neighbor phenology</w:t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Ant abundance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-0.048</w:t>
            </w:r>
          </w:p>
        </w:tc>
        <w:tc>
          <w:tcPr>
            <w:tcW w:w="1416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-0.048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170" w:hRule="atLeast"/>
        </w:trPr>
        <w:tc>
          <w:tcPr>
            <w:tcW w:w="2519" w:type="dxa"/>
            <w:tcBorders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Neighbor density</w:t>
            </w:r>
          </w:p>
        </w:tc>
        <w:tc>
          <w:tcPr>
            <w:tcW w:w="4109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Ant abundance</w:t>
            </w:r>
          </w:p>
        </w:tc>
        <w:tc>
          <w:tcPr>
            <w:tcW w:w="1986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0.081</w:t>
            </w:r>
          </w:p>
        </w:tc>
        <w:tc>
          <w:tcPr>
            <w:tcW w:w="1416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1845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0.081</w:t>
            </w:r>
          </w:p>
        </w:tc>
        <w:tc>
          <w:tcPr>
            <w:tcW w:w="991" w:type="dxa"/>
            <w:tcBorders/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tcBorders/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170" w:hRule="atLeast"/>
        </w:trPr>
        <w:tc>
          <w:tcPr>
            <w:tcW w:w="251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Plant phenology</w:t>
            </w:r>
          </w:p>
        </w:tc>
        <w:tc>
          <w:tcPr>
            <w:tcW w:w="4109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spacing w:lineRule="auto" w:line="240"/>
              <w:jc w:val="left"/>
              <w:rPr/>
            </w:pPr>
            <w:r>
              <w:rPr/>
              <w:t xml:space="preserve">~~ </w:t>
            </w:r>
            <w:r>
              <w:rPr>
                <w:rFonts w:cs="Times New Roman"/>
              </w:rPr>
              <w:t>Neighbor density</w:t>
            </w:r>
          </w:p>
        </w:tc>
        <w:tc>
          <w:tcPr>
            <w:tcW w:w="1986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-0.041</w:t>
            </w:r>
          </w:p>
        </w:tc>
        <w:tc>
          <w:tcPr>
            <w:tcW w:w="1416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184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-0.041</w:t>
            </w:r>
          </w:p>
        </w:tc>
        <w:tc>
          <w:tcPr>
            <w:tcW w:w="991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bidi w:val="0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&lt;0.001</w:t>
            </w:r>
          </w:p>
        </w:tc>
        <w:tc>
          <w:tcPr>
            <w:tcW w:w="708" w:type="dxa"/>
            <w:tcBorders>
              <w:bottom w:val="single" w:sz="4" w:space="0" w:color="000000"/>
            </w:tcBorders>
          </w:tcPr>
          <w:p>
            <w:pPr>
              <w:pStyle w:val="Normal"/>
              <w:bidi w:val="0"/>
              <w:snapToGrid w:val="false"/>
              <w:spacing w:lineRule="auto" w:line="24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</w:tbl>
    <w:p>
      <w:pPr>
        <w:sectPr>
          <w:footerReference w:type="default" r:id="rId2"/>
          <w:type w:val="nextPage"/>
          <w:pgSz w:orient="landscape" w:w="16838" w:h="11906"/>
          <w:pgMar w:left="1134" w:right="1134" w:header="0" w:top="1134" w:footer="1134" w:bottom="1693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Normal"/>
        <w:bidi w:val="0"/>
        <w:spacing w:lineRule="auto" w:line="480"/>
        <w:jc w:val="left"/>
        <w:rPr/>
      </w:pPr>
      <w:r>
        <w:rPr>
          <w:rFonts w:cs="Times New Roman"/>
        </w:rPr>
        <w:t xml:space="preserve">Figure A1: Global piecewise structural equation model (piecewise SEM) examining the relationships among microclimate (first and second axes of a PCA </w:t>
      </w:r>
      <w:r>
        <w:rPr>
          <w:rFonts w:eastAsia="Times New Roman" w:cs="Times New Roman"/>
          <w:szCs w:val="23"/>
        </w:rPr>
        <w:t>performed on soil temperature and soil moisture</w:t>
      </w:r>
      <w:r>
        <w:rPr>
          <w:rFonts w:cs="Times New Roman"/>
        </w:rPr>
        <w:t xml:space="preserve">), </w:t>
      </w:r>
      <w:r>
        <w:rPr>
          <w:rFonts w:cs="Times New Roman"/>
          <w:i/>
          <w:iCs/>
        </w:rPr>
        <w:t>G. pneumonanthe</w:t>
      </w:r>
      <w:r>
        <w:rPr>
          <w:rFonts w:cs="Times New Roman"/>
        </w:rPr>
        <w:t xml:space="preserve"> phenology and context (host ant abundance, density and phenology of neighboring host plants), occurrence of seed predation by </w:t>
      </w:r>
      <w:r>
        <w:rPr>
          <w:rFonts w:cs="Times New Roman"/>
          <w:i/>
          <w:iCs/>
        </w:rPr>
        <w:t>P. alcon</w:t>
      </w:r>
      <w:r>
        <w:rPr>
          <w:rFonts w:cs="Times New Roman"/>
        </w:rPr>
        <w:t xml:space="preserve">, and </w:t>
      </w:r>
      <w:r>
        <w:rPr>
          <w:rFonts w:cs="Times New Roman"/>
          <w:i/>
          <w:iCs/>
        </w:rPr>
        <w:t>G. pneumonanthe</w:t>
      </w:r>
      <w:r>
        <w:rPr>
          <w:rFonts w:cs="Times New Roman"/>
        </w:rPr>
        <w:t xml:space="preserve"> reproductive performance</w:t>
      </w:r>
      <w:r>
        <w:rPr>
          <w:rFonts w:eastAsia="Adobe Garamond Pro" w:cs="Adobe Garamond Pro" w:ascii="Adobe Garamond Pro" w:hAnsi="Adobe Garamond Pro"/>
          <w:color w:val="000000"/>
          <w:sz w:val="19"/>
          <w:szCs w:val="19"/>
        </w:rPr>
        <w:t xml:space="preserve"> </w:t>
      </w:r>
      <w:r>
        <w:rPr>
          <w:rFonts w:cs="Times New Roman"/>
        </w:rPr>
        <w:t xml:space="preserve">(number of seeds per flower). Alternative models were obtained by simplification of the global model through backwards stepwise removal of paths. </w:t>
      </w:r>
    </w:p>
    <w:p>
      <w:pPr>
        <w:pStyle w:val="Normal"/>
        <w:bidi w:val="0"/>
        <w:spacing w:lineRule="auto" w:line="48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175260</wp:posOffset>
            </wp:positionV>
            <wp:extent cx="6119495" cy="5054600"/>
            <wp:effectExtent l="0" t="0" r="0" b="0"/>
            <wp:wrapTopAndBottom/>
            <wp:docPr id="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4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dobe Garamond Pro">
    <w:charset w:val="00"/>
    <w:family w:val="roman"/>
    <w:pitch w:val="variable"/>
  </w:font>
  <w:font w:name="Symbo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suppressLineNumbers/>
      <w:bidi w:val="0"/>
      <w:jc w:val="left"/>
      <w:rPr/>
    </w:pPr>
    <w:r>
      <w:rPr/>
    </w:r>
  </w:p>
</w:ftr>
</file>

<file path=word/settings.xml><?xml version="1.0" encoding="utf-8"?>
<w:settings xmlns:w="http://schemas.openxmlformats.org/wordprocessingml/2006/main">
  <w:zoom w:percent="85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ontenidodelatabla">
    <w:name w:val="Contenido de la tabla"/>
    <w:basedOn w:val="Normal"/>
    <w:qFormat/>
    <w:pPr>
      <w:suppressLineNumbers/>
    </w:pPr>
    <w:rPr/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footer" Target="footer2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LibreOffice/6.4.6.2$Windows_X86_64 LibreOffice_project/0ce51a4fd21bff07a5c061082cc82c5ed232f115</Application>
  <Pages>4</Pages>
  <Words>411</Words>
  <Characters>2394</Characters>
  <CharactersWithSpaces>2639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2020-09-02T17:13:40Z</dcterms:created>
  <dc:creator>Alicia Valdés</dc:creator>
  <dc:description/>
  <dc:language>en-US</dc:language>
  <cp:lastModifiedBy>Alicia Valdés</cp:lastModifiedBy>
  <dcterms:modified xsi:type="dcterms:W3CDTF">2020-09-02T17:14:24Z</dcterms:modified>
  <cp:revision>1</cp:revision>
  <dc:subject/>
  <dc:title/>
</cp:coreProperties>
</file>