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08080"/>
          <w:sz w:val="20"/>
          <w:szCs w:val="20"/>
        </w:rPr>
        <w:t xml:space="preserve">DOKUMEN REVIEW</w:t>
      </w:r>
    </w:p>
    <w:p>
      <w:pPr>
        <w:spacing w:after="80"/>
      </w:pPr>
      <w:r>
        <w:rPr>
          <w:b/>
          <w:bCs/>
          <w:color w:val="1F4E79"/>
          <w:sz w:val="40"/>
          <w:szCs w:val="40"/>
        </w:rPr>
        <w:t xml:space="preserve">Pengembangan Sistem Toko Online Multi-Perusahaan (B2C)</w:t>
      </w:r>
    </w:p>
    <w:p>
      <w:pPr>
        <w:spacing w:after="40"/>
      </w:pPr>
      <w:r>
        <w:rPr>
          <w:i/>
          <w:iCs/>
          <w:color w:val="595959"/>
          <w:sz w:val="24"/>
          <w:szCs w:val="24"/>
        </w:rPr>
        <w:t xml:space="preserve">Rencana alur sistem &amp; daftar keputusan yang membutuhkan arahan Bapak/Ibu</w:t>
      </w:r>
    </w:p>
    <w:p>
      <w:pPr>
        <w:pBdr>
          <w:bottom w:val="single" w:color="1F4E79" w:sz="12"/>
        </w:pBdr>
        <w:spacing w:after="300"/>
      </w:pPr>
      <w:r>
        <w:rPr>
          <w:color w:val="808080"/>
          <w:sz w:val="20"/>
          <w:szCs w:val="20"/>
        </w:rPr>
        <w:t xml:space="preserve">17 Juli 2026</w:t>
      </w:r>
    </w:p>
    <w:p>
      <w:pPr>
        <w:pStyle w:val="Heading1"/>
        <w:spacing w:after="140" w:before="280"/>
      </w:pPr>
      <w:r>
        <w:t xml:space="preserve">1. Latar Belakang &amp; Konsep Besar</w:t>
      </w:r>
    </w:p>
    <w:p>
      <w:pPr>
        <w:spacing w:after="140"/>
      </w:pPr>
      <w:r>
        <w:t xml:space="preserve">Saat ini sistem toko online berjalan untuk satu perusahaan (BOQ). Sesuai kebutuhan yang disampaikan, sistem akan dikembangkan agar dapat menaungi beberapa perusahaan (PT) sekaligus dalam satu sistem yang sama, dengan prinsip berikut:</w:t>
      </w:r>
    </w:p>
    <w:p>
      <w:pPr>
        <w:pStyle w:val="ListParagraph"/>
        <w:numPr>
          <w:ilvl w:val="0"/>
          <w:numId w:val="2"/>
        </w:numPr>
        <w:spacing w:after="80"/>
      </w:pPr>
      <w:r>
        <w:t xml:space="preserve">Satu situs belanja untuk customer. Customer membuka satu website dan melihat produk dari semua PT dalam satu etalase, mirip konsep marketplace.</w:t>
      </w:r>
    </w:p>
    <w:p>
      <w:pPr>
        <w:pStyle w:val="ListParagraph"/>
        <w:numPr>
          <w:ilvl w:val="0"/>
          <w:numId w:val="2"/>
        </w:numPr>
        <w:spacing w:after="80"/>
      </w:pPr>
      <w:r>
        <w:t xml:space="preserve">Setiap PT berdiri sendiri di belakang layar. Produk, stok, harga, promo, transaksi, dan laporan milik masing-masing PT — tidak tercampur. Tidak ada satu barang yang dimiliki bersama oleh beberapa PT.</w:t>
      </w:r>
    </w:p>
    <w:p>
      <w:pPr>
        <w:pStyle w:val="ListParagraph"/>
        <w:numPr>
          <w:ilvl w:val="0"/>
          <w:numId w:val="2"/>
        </w:numPr>
        <w:spacing w:after="80"/>
      </w:pPr>
      <w:r>
        <w:t xml:space="preserve">Satu pusat kendali untuk pemilik. Semua PT dikelola dari satu panel admin, dengan pengaturan siapa boleh mengelola PT mana dan melihat apa.</w:t>
      </w:r>
    </w:p>
    <w:p>
      <w:pPr>
        <w:spacing w:after="140"/>
      </w:pPr>
      <w:r>
        <w:t xml:space="preserve">Dokumen ini sengaja tidak membahas hal teknis. Fokusnya adalah alur kerja yang akan dibangun, agar Bapak/Ibu dapat memastikan arahnya sudah sesuai sebelum pengerjaan dimulai.</w:t>
      </w:r>
    </w:p>
    <w:p>
      <w:pPr>
        <w:pStyle w:val="Heading1"/>
        <w:spacing w:after="140" w:before="280"/>
      </w:pPr>
      <w:r>
        <w:t xml:space="preserve">2. Alur Belanja dari Sisi Customer</w:t>
      </w:r>
    </w:p>
    <w:p>
      <w:pPr>
        <w:spacing w:after="120"/>
      </w:pPr>
      <w:r>
        <w:rPr>
          <w:b/>
          <w:bCs/>
          <w:color w:val="1F4E79"/>
        </w:rPr>
        <w:t xml:space="preserve">1. Daftar &amp; masuk sekali saja</w:t>
      </w:r>
      <w:r>
        <w:t xml:space="preserve"> — customer cukup punya satu akun untuk berbelanja di semua PT. Tidak perlu daftar ulang per toko.</w:t>
      </w:r>
    </w:p>
    <w:p>
      <w:pPr>
        <w:spacing w:after="120"/>
      </w:pPr>
      <w:r>
        <w:rPr>
          <w:b/>
          <w:bCs/>
          <w:color w:val="1F4E79"/>
        </w:rPr>
        <w:t xml:space="preserve">2. Melihat etalase gabungan</w:t>
      </w:r>
      <w:r>
        <w:t xml:space="preserve"> — semua produk dari semua PT tampil dalam satu situs. Di setiap produk tertera jelas nama PT/toko penjualnya.</w:t>
      </w:r>
    </w:p>
    <w:p>
      <w:pPr>
        <w:spacing w:after="120"/>
      </w:pPr>
      <w:r>
        <w:rPr>
          <w:b/>
          <w:bCs/>
          <w:color w:val="1F4E79"/>
        </w:rPr>
        <w:t xml:space="preserve">3. Keranjang otomatis terkelompok</w:t>
      </w:r>
      <w:r>
        <w:t xml:space="preserve"> — customer bebas memasukkan produk dari beberapa PT. Keranjang akan otomatis mengelompokkan barang berdasarkan PT penjual.</w:t>
      </w:r>
    </w:p>
    <w:p>
      <w:pPr>
        <w:spacing w:after="120"/>
      </w:pPr>
      <w:r>
        <w:rPr>
          <w:b/>
          <w:bCs/>
          <w:color w:val="1F4E79"/>
        </w:rPr>
        <w:t xml:space="preserve">4. Pembayaran per PT</w:t>
      </w:r>
      <w:r>
        <w:t xml:space="preserve"> — saat checkout, setiap kelompok PT diproses sebagai pesanan terpisah: ongkos kirim dihitung dari gudang PT tersebut, pembayaran masuk ke rekening PT tersebut, dan voucher/kupon hanya berlaku di PT yang menerbitkannya.</w:t>
      </w:r>
    </w:p>
    <w:p>
      <w:pPr>
        <w:spacing w:after="120"/>
      </w:pPr>
      <w:r>
        <w:rPr>
          <w:b/>
          <w:bCs/>
          <w:color w:val="1F4E79"/>
        </w:rPr>
        <w:t xml:space="preserve">5. Riwayat pesanan tetap satu</w:t>
      </w:r>
      <w:r>
        <w:t xml:space="preserve"> — semua pesanan dari berbagai PT tampil dalam satu daftar riwayat milik customer, lengkap dengan label PT-nya. Email konfirmasi dan tagihan terbit atas nama PT penjual.</w:t>
      </w:r>
    </w:p>
    <w:p>
      <w:pPr>
        <w:spacing w:after="140"/>
      </w:pPr>
      <w:r>
        <w:rPr>
          <w:i/>
          <w:iCs/>
        </w:rPr>
        <w:t xml:space="preserve">Dengan alur ini, customer merasakan kemudahan satu situs dan satu akun, sementara secara administrasi setiap transaksi tetap tercatat rapi milik PT masing-masing.</w:t>
      </w:r>
    </w:p>
    <w:p>
      <w:pPr>
        <w:pStyle w:val="Heading1"/>
        <w:spacing w:after="140" w:before="280"/>
      </w:pPr>
      <w:r>
        <w:t xml:space="preserve">3. Pengelolaan dari Sisi Admin &amp; Pemilik</w:t>
      </w:r>
    </w:p>
    <w:p>
      <w:pPr>
        <w:pStyle w:val="Heading2"/>
        <w:spacing w:after="100" w:before="220"/>
      </w:pPr>
      <w:r>
        <w:t xml:space="preserve">3.1 Mengelola daftar perusahaan</w:t>
      </w:r>
    </w:p>
    <w:p>
      <w:pPr>
        <w:pStyle w:val="ListParagraph"/>
        <w:numPr>
          <w:ilvl w:val="0"/>
          <w:numId w:val="2"/>
        </w:numPr>
        <w:spacing w:after="80"/>
      </w:pPr>
      <w:r>
        <w:t xml:space="preserve">Pemilik dapat menambahkan PT baru (nama, logo, alamat, kontak, NPWP, rekening) dan menonaktifkan PT tanpa menghapus data historisnya.</w:t>
      </w:r>
    </w:p>
    <w:p>
      <w:pPr>
        <w:pStyle w:val="ListParagraph"/>
        <w:numPr>
          <w:ilvl w:val="0"/>
          <w:numId w:val="2"/>
        </w:numPr>
        <w:spacing w:after="80"/>
      </w:pPr>
      <w:r>
        <w:t xml:space="preserve">Setiap PT memiliki penomoran invoice sendiri sesuai identitasnya.</w:t>
      </w:r>
    </w:p>
    <w:p>
      <w:pPr>
        <w:pStyle w:val="Heading2"/>
        <w:spacing w:after="100" w:before="220"/>
      </w:pPr>
      <w:r>
        <w:t xml:space="preserve">3.2 Hak akses yang dapat diatur</w:t>
      </w:r>
    </w:p>
    <w:p>
      <w:pPr>
        <w:pStyle w:val="ListParagraph"/>
        <w:numPr>
          <w:ilvl w:val="0"/>
          <w:numId w:val="2"/>
        </w:numPr>
        <w:spacing w:after="80"/>
      </w:pPr>
      <w:r>
        <w:t xml:space="preserve">Setiap admin dapat ditugaskan ke satu, beberapa, atau semua PT — misalnya Admin A mengelola PT A dan PT B, tapi tidak dapat melihat PT C sama sekali.</w:t>
      </w:r>
    </w:p>
    <w:p>
      <w:pPr>
        <w:pStyle w:val="ListParagraph"/>
        <w:numPr>
          <w:ilvl w:val="0"/>
          <w:numId w:val="2"/>
        </w:numPr>
        <w:spacing w:after="80"/>
      </w:pPr>
      <w:r>
        <w:t xml:space="preserve">Selain dibatasi per PT, akses juga dibatasi per fungsi. Contoh: staf katalog bisa mengurus produk dan stok tapi tidak bisa membuka laporan penjualan; staf order bisa memproses pesanan tapi tidak bisa mengubah harga.</w:t>
      </w:r>
    </w:p>
    <w:p>
      <w:pPr>
        <w:pStyle w:val="ListParagraph"/>
        <w:numPr>
          <w:ilvl w:val="0"/>
          <w:numId w:val="2"/>
        </w:numPr>
        <w:spacing w:after="80"/>
      </w:pPr>
      <w:r>
        <w:t xml:space="preserve">Admin yang memegang beberapa PT akan berpindah konteks lewat pilihan perusahaan di panel — data yang tampil selalu hanya milik PT yang sedang dipilih.</w:t>
      </w:r>
    </w:p>
    <w:p>
      <w:pPr>
        <w:pStyle w:val="Heading2"/>
        <w:spacing w:after="100" w:before="220"/>
      </w:pPr>
      <w:r>
        <w:t xml:space="preserve">3.3 Laporan</w:t>
      </w:r>
    </w:p>
    <w:p>
      <w:pPr>
        <w:pStyle w:val="ListParagraph"/>
        <w:numPr>
          <w:ilvl w:val="0"/>
          <w:numId w:val="2"/>
        </w:numPr>
        <w:spacing w:after="80"/>
      </w:pPr>
      <w:r>
        <w:t xml:space="preserve">Setiap laporan (penjualan, stok, pembayaran, customer, promo, retur) dapat dilihat per PT.</w:t>
      </w:r>
    </w:p>
    <w:p>
      <w:pPr>
        <w:pStyle w:val="ListParagraph"/>
        <w:numPr>
          <w:ilvl w:val="0"/>
          <w:numId w:val="2"/>
        </w:numPr>
        <w:spacing w:after="80"/>
      </w:pPr>
      <w:r>
        <w:t xml:space="preserve">Khusus pemilik/direksi, tersedia laporan gabungan seluruh PT beserta rinciannya per PT. Akses laporan gabungan ini dapat dibatasi hanya untuk orang tertentu.</w:t>
      </w:r>
    </w:p>
    <w:p>
      <w:pPr>
        <w:pStyle w:val="Heading1"/>
        <w:spacing w:after="140" w:before="280"/>
      </w:pPr>
      <w:r>
        <w:t xml:space="preserve">4. Tahapan Pengerjaan</w:t>
      </w:r>
    </w:p>
    <w:p>
      <w:pPr>
        <w:spacing w:after="140"/>
      </w:pPr>
      <w:r>
        <w:t xml:space="preserve">Pengerjaan dibagi tiga tahap agar sistem yang berjalan sekarang tidak terganggu:</w:t>
      </w:r>
    </w:p>
    <w:p>
      <w:pPr>
        <w:pStyle w:val="ListParagraph"/>
        <w:numPr>
          <w:ilvl w:val="0"/>
          <w:numId w:val="3"/>
        </w:numPr>
        <w:spacing w:after="80"/>
      </w:pPr>
      <w:r>
        <w:rPr>
          <w:b w:val="false"/>
          <w:bCs w:val="false"/>
        </w:rPr>
        <w:t xml:space="preserve">Tahap 1 — Fondasi multi-perusahaan. Menyiapkan struktur perusahaan dan hak akses di dalam sistem. Setelah tahap ini selesai, sistem tetap berjalan persis seperti sekarang (masih satu PT: BOQ) — tidak ada perubahan yang dirasakan customer.</w:t>
      </w:r>
    </w:p>
    <w:p>
      <w:pPr>
        <w:pStyle w:val="ListParagraph"/>
        <w:numPr>
          <w:ilvl w:val="0"/>
          <w:numId w:val="3"/>
        </w:numPr>
        <w:spacing w:after="80"/>
      </w:pPr>
      <w:r>
        <w:rPr>
          <w:b w:val="false"/>
          <w:bCs w:val="false"/>
        </w:rPr>
        <w:t xml:space="preserve">Tahap 2 — Etalase gabungan &amp; checkout per PT. Menampilkan identitas PT di situs, keranjang terkelompok, pembayaran &amp; ongkir per PT, serta laporan per PT dan gabungan. Setelah tahap ini, PT kedua siap diaktifkan.</w:t>
      </w:r>
    </w:p>
    <w:p>
      <w:pPr>
        <w:pStyle w:val="ListParagraph"/>
        <w:numPr>
          <w:ilvl w:val="0"/>
          <w:numId w:val="3"/>
        </w:numPr>
        <w:spacing w:after="80"/>
      </w:pPr>
      <w:r>
        <w:rPr>
          <w:b w:val="false"/>
          <w:bCs w:val="false"/>
        </w:rPr>
        <w:t xml:space="preserve">Tahap 3 — Alur penjualan B2B. Alur penawaran harga (quotation), sales order, surat jalan, hingga invoice dan pencatatan pembayaran untuk pelanggan korporat — dibahas dalam dokumen terpisah, dan akan disesuaikan mengikuti struktur multi-perusahaan ini.</w:t>
      </w:r>
    </w:p>
    <w:p>
      <w:r>
        <w:br w:type="page"/>
      </w:r>
    </w:p>
    <w:p>
      <w:pPr>
        <w:pStyle w:val="Heading1"/>
        <w:spacing w:after="140" w:before="280"/>
      </w:pPr>
      <w:r>
        <w:t xml:space="preserve">5. Hal-Hal yang Membutuhkan Keputusan Bapak/Ibu</w:t>
      </w:r>
    </w:p>
    <w:p>
      <w:pPr>
        <w:spacing w:after="140"/>
      </w:pPr>
      <w:r>
        <w:t xml:space="preserve">Beberapa hal di bawah ini tidak dapat kami putuskan sepihak karena menyangkut kebijakan bisnis. Mohon dibaca dan diberi arahan — keputusan ini kami perlukan sebelum Tahap 2 dimulai.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400"/>
        <w:gridCol w:w="2020"/>
      </w:tblGrid>
      <w:tr>
        <w:trPr>
          <w:tblHeader/>
        </w:trPr>
        <w:tc>
          <w:tcPr>
            <w:tcW w:type="dxa" w:w="1700"/>
            <w:shd w:fill="1F4E79" w:val="clear"/>
            <w:tcMar>
              <w:top w:type="dxa" w:w="80"/>
              <w:left w:type="dxa" w:w="120"/>
              <w:bottom w:type="dxa" w:w="80"/>
              <w:right w:type="dxa" w:w="120"/>
            </w:tcMar>
          </w:tcPr>
          <w:p>
            <w:pPr>
              <w:spacing w:after="0"/>
            </w:pPr>
            <w:r>
              <w:rPr>
                <w:b/>
                <w:bCs/>
                <w:color w:val="FFFFFF"/>
                <w:sz w:val="20"/>
                <w:szCs w:val="20"/>
              </w:rPr>
              <w:t xml:space="preserve">Topik</w:t>
            </w:r>
          </w:p>
        </w:tc>
        <w:tc>
          <w:tcPr>
            <w:tcW w:type="dxa" w:w="2600"/>
            <w:shd w:fill="1F4E79" w:val="clear"/>
            <w:tcMar>
              <w:top w:type="dxa" w:w="80"/>
              <w:left w:type="dxa" w:w="120"/>
              <w:bottom w:type="dxa" w:w="80"/>
              <w:right w:type="dxa" w:w="120"/>
            </w:tcMar>
          </w:tcPr>
          <w:p>
            <w:pPr>
              <w:spacing w:after="0"/>
            </w:pPr>
            <w:r>
              <w:rPr>
                <w:b/>
                <w:bCs/>
                <w:color w:val="FFFFFF"/>
                <w:sz w:val="20"/>
                <w:szCs w:val="20"/>
              </w:rPr>
              <w:t xml:space="preserve">Penjelasan</w:t>
            </w:r>
          </w:p>
        </w:tc>
        <w:tc>
          <w:tcPr>
            <w:tcW w:type="dxa" w:w="3400"/>
            <w:shd w:fill="1F4E79" w:val="clear"/>
            <w:tcMar>
              <w:top w:type="dxa" w:w="80"/>
              <w:left w:type="dxa" w:w="120"/>
              <w:bottom w:type="dxa" w:w="80"/>
              <w:right w:type="dxa" w:w="120"/>
            </w:tcMar>
          </w:tcPr>
          <w:p>
            <w:pPr>
              <w:spacing w:after="0"/>
            </w:pPr>
            <w:r>
              <w:rPr>
                <w:b/>
                <w:bCs/>
                <w:color w:val="FFFFFF"/>
                <w:sz w:val="20"/>
                <w:szCs w:val="20"/>
              </w:rPr>
              <w:t xml:space="preserve">Pilihan yang tersedia</w:t>
            </w:r>
          </w:p>
        </w:tc>
        <w:tc>
          <w:tcPr>
            <w:tcW w:type="dxa" w:w="2020"/>
            <w:shd w:fill="1F4E79" w:val="clear"/>
            <w:tcMar>
              <w:top w:type="dxa" w:w="80"/>
              <w:left w:type="dxa" w:w="120"/>
              <w:bottom w:type="dxa" w:w="80"/>
              <w:right w:type="dxa" w:w="120"/>
            </w:tcMar>
          </w:tcPr>
          <w:p>
            <w:pPr>
              <w:spacing w:after="0"/>
            </w:pPr>
            <w:r>
              <w:rPr>
                <w:b/>
                <w:bCs/>
                <w:color w:val="FFFFFF"/>
                <w:sz w:val="20"/>
                <w:szCs w:val="20"/>
              </w:rPr>
              <w:t xml:space="preserve">Catatan kami</w:t>
            </w:r>
          </w:p>
        </w:tc>
      </w:tr>
      <w:tr>
        <w:tc>
          <w:tcPr>
            <w:tcW w:type="dxa" w:w="1700"/>
            <w:tcMar>
              <w:top w:type="dxa" w:w="80"/>
              <w:left w:type="dxa" w:w="120"/>
              <w:bottom w:type="dxa" w:w="80"/>
              <w:right w:type="dxa" w:w="120"/>
            </w:tcMar>
          </w:tcPr>
          <w:p>
            <w:pPr>
              <w:spacing w:after="0"/>
            </w:pPr>
            <w:r>
              <w:rPr>
                <w:b/>
                <w:bCs/>
                <w:sz w:val="20"/>
                <w:szCs w:val="20"/>
              </w:rPr>
              <w:t xml:space="preserve">Poin &amp; level member</w:t>
            </w:r>
          </w:p>
        </w:tc>
        <w:tc>
          <w:tcPr>
            <w:tcW w:type="dxa" w:w="2600"/>
            <w:tcMar>
              <w:top w:type="dxa" w:w="80"/>
              <w:left w:type="dxa" w:w="120"/>
              <w:bottom w:type="dxa" w:w="80"/>
              <w:right w:type="dxa" w:w="120"/>
            </w:tcMar>
          </w:tcPr>
          <w:p>
            <w:pPr>
              <w:spacing w:after="0"/>
            </w:pPr>
            <w:r>
              <w:rPr>
                <w:b w:val="false"/>
                <w:bCs w:val="false"/>
                <w:sz w:val="20"/>
                <w:szCs w:val="20"/>
              </w:rPr>
              <w:t xml:space="preserve">Saat ini customer mengumpulkan poin dari belanja. Jika ada beberapa PT, apakah poin berlaku lintas PT?</w:t>
            </w:r>
          </w:p>
        </w:tc>
        <w:tc>
          <w:tcPr>
            <w:tcW w:type="dxa" w:w="3400"/>
            <w:tcMar>
              <w:top w:type="dxa" w:w="80"/>
              <w:left w:type="dxa" w:w="120"/>
              <w:bottom w:type="dxa" w:w="80"/>
              <w:right w:type="dxa" w:w="120"/>
            </w:tcMar>
          </w:tcPr>
          <w:p>
            <w:pPr>
              <w:spacing w:after="0"/>
            </w:pPr>
            <w:r>
              <w:rPr>
                <w:b w:val="false"/>
                <w:bCs w:val="false"/>
                <w:sz w:val="20"/>
                <w:szCs w:val="20"/>
              </w:rPr>
              <w:t xml:space="preserve">(a) Satu saldo poin berlaku di semua PT — mudah bagi customer, tapi biaya promo bisa berpindah antar PT. (b) Poin terpisah per PT — rapi secara keuangan, tapi customer punya beberapa saldo.</w:t>
            </w:r>
          </w:p>
        </w:tc>
        <w:tc>
          <w:tcPr>
            <w:tcW w:type="dxa" w:w="2020"/>
            <w:tcMar>
              <w:top w:type="dxa" w:w="80"/>
              <w:left w:type="dxa" w:w="120"/>
              <w:bottom w:type="dxa" w:w="80"/>
              <w:right w:type="dxa" w:w="120"/>
            </w:tcMar>
          </w:tcPr>
          <w:p>
            <w:pPr>
              <w:spacing w:after="0"/>
            </w:pPr>
            <w:r>
              <w:rPr>
                <w:b w:val="false"/>
                <w:bCs w:val="false"/>
                <w:sz w:val="20"/>
                <w:szCs w:val="20"/>
              </w:rPr>
              <w:t xml:space="preserve">Perlu keputusan Bapak/Ibu — menyangkut kebijakan biaya antar PT.</w:t>
            </w:r>
          </w:p>
        </w:tc>
      </w:tr>
      <w:tr>
        <w:tc>
          <w:tcPr>
            <w:tcW w:type="dxa" w:w="1700"/>
            <w:shd w:fill="DEEBF7" w:val="clear"/>
            <w:tcMar>
              <w:top w:type="dxa" w:w="80"/>
              <w:left w:type="dxa" w:w="120"/>
              <w:bottom w:type="dxa" w:w="80"/>
              <w:right w:type="dxa" w:w="120"/>
            </w:tcMar>
          </w:tcPr>
          <w:p>
            <w:pPr>
              <w:spacing w:after="0"/>
            </w:pPr>
            <w:r>
              <w:rPr>
                <w:b/>
                <w:bCs/>
                <w:sz w:val="20"/>
                <w:szCs w:val="20"/>
              </w:rPr>
              <w:t xml:space="preserve">Kategori produk</w:t>
            </w:r>
          </w:p>
        </w:tc>
        <w:tc>
          <w:tcPr>
            <w:tcW w:type="dxa" w:w="2600"/>
            <w:shd w:fill="DEEBF7" w:val="clear"/>
            <w:tcMar>
              <w:top w:type="dxa" w:w="80"/>
              <w:left w:type="dxa" w:w="120"/>
              <w:bottom w:type="dxa" w:w="80"/>
              <w:right w:type="dxa" w:w="120"/>
            </w:tcMar>
          </w:tcPr>
          <w:p>
            <w:pPr>
              <w:spacing w:after="0"/>
            </w:pPr>
            <w:r>
              <w:rPr>
                <w:b w:val="false"/>
                <w:bCs w:val="false"/>
                <w:sz w:val="20"/>
                <w:szCs w:val="20"/>
              </w:rPr>
              <w:t xml:space="preserve">Etalase situs menampilkan produk semua PT. Apakah susunan kategorinya satu untuk semua, atau tiap PT punya kategori sendiri?</w:t>
            </w:r>
          </w:p>
        </w:tc>
        <w:tc>
          <w:tcPr>
            <w:tcW w:type="dxa" w:w="3400"/>
            <w:shd w:fill="DEEBF7" w:val="clear"/>
            <w:tcMar>
              <w:top w:type="dxa" w:w="80"/>
              <w:left w:type="dxa" w:w="120"/>
              <w:bottom w:type="dxa" w:w="80"/>
              <w:right w:type="dxa" w:w="120"/>
            </w:tcMar>
          </w:tcPr>
          <w:p>
            <w:pPr>
              <w:spacing w:after="0"/>
            </w:pPr>
            <w:r>
              <w:rPr>
                <w:b w:val="false"/>
                <w:bCs w:val="false"/>
                <w:sz w:val="20"/>
                <w:szCs w:val="20"/>
              </w:rPr>
              <w:t xml:space="preserve">(a) Kategori bersama — tampilan situs konsisten seperti marketplace. (b) Kategori per PT — lebih bebas, tapi navigasi situs berpotensi membingungkan.</w:t>
            </w:r>
          </w:p>
        </w:tc>
        <w:tc>
          <w:tcPr>
            <w:tcW w:type="dxa" w:w="2020"/>
            <w:shd w:fill="DEEBF7" w:val="clear"/>
            <w:tcMar>
              <w:top w:type="dxa" w:w="80"/>
              <w:left w:type="dxa" w:w="120"/>
              <w:bottom w:type="dxa" w:w="80"/>
              <w:right w:type="dxa" w:w="120"/>
            </w:tcMar>
          </w:tcPr>
          <w:p>
            <w:pPr>
              <w:spacing w:after="0"/>
            </w:pPr>
            <w:r>
              <w:rPr>
                <w:b w:val="false"/>
                <w:bCs w:val="false"/>
                <w:sz w:val="20"/>
                <w:szCs w:val="20"/>
              </w:rPr>
              <w:t xml:space="preserve">Kami menyarankan kategori bersama (a).</w:t>
            </w:r>
          </w:p>
        </w:tc>
      </w:tr>
      <w:tr>
        <w:tc>
          <w:tcPr>
            <w:tcW w:type="dxa" w:w="1700"/>
            <w:tcMar>
              <w:top w:type="dxa" w:w="80"/>
              <w:left w:type="dxa" w:w="120"/>
              <w:bottom w:type="dxa" w:w="80"/>
              <w:right w:type="dxa" w:w="120"/>
            </w:tcMar>
          </w:tcPr>
          <w:p>
            <w:pPr>
              <w:spacing w:after="0"/>
            </w:pPr>
            <w:r>
              <w:rPr>
                <w:b/>
                <w:bCs/>
                <w:sz w:val="20"/>
                <w:szCs w:val="20"/>
              </w:rPr>
              <w:t xml:space="preserve">Identitas email</w:t>
            </w:r>
          </w:p>
        </w:tc>
        <w:tc>
          <w:tcPr>
            <w:tcW w:type="dxa" w:w="2600"/>
            <w:tcMar>
              <w:top w:type="dxa" w:w="80"/>
              <w:left w:type="dxa" w:w="120"/>
              <w:bottom w:type="dxa" w:w="80"/>
              <w:right w:type="dxa" w:w="120"/>
            </w:tcMar>
          </w:tcPr>
          <w:p>
            <w:pPr>
              <w:spacing w:after="0"/>
            </w:pPr>
            <w:r>
              <w:rPr>
                <w:b w:val="false"/>
                <w:bCs w:val="false"/>
                <w:sz w:val="20"/>
                <w:szCs w:val="20"/>
              </w:rPr>
              <w:t xml:space="preserve">Email otomatis (konfirmasi pesanan, tagihan) dikirim atas nama siapa?</w:t>
            </w:r>
          </w:p>
        </w:tc>
        <w:tc>
          <w:tcPr>
            <w:tcW w:type="dxa" w:w="3400"/>
            <w:tcMar>
              <w:top w:type="dxa" w:w="80"/>
              <w:left w:type="dxa" w:w="120"/>
              <w:bottom w:type="dxa" w:w="80"/>
              <w:right w:type="dxa" w:w="120"/>
            </w:tcMar>
          </w:tcPr>
          <w:p>
            <w:pPr>
              <w:spacing w:after="0"/>
            </w:pPr>
            <w:r>
              <w:rPr>
                <w:b w:val="false"/>
                <w:bCs w:val="false"/>
                <w:sz w:val="20"/>
                <w:szCs w:val="20"/>
              </w:rPr>
              <w:t xml:space="preserve">(a) Satu alamat email untuk semua PT, nama pengirim menyesuaikan PT. (b) Alamat email resmi berbeda per PT.</w:t>
            </w:r>
          </w:p>
        </w:tc>
        <w:tc>
          <w:tcPr>
            <w:tcW w:type="dxa" w:w="2020"/>
            <w:tcMar>
              <w:top w:type="dxa" w:w="80"/>
              <w:left w:type="dxa" w:w="120"/>
              <w:bottom w:type="dxa" w:w="80"/>
              <w:right w:type="dxa" w:w="120"/>
            </w:tcMar>
          </w:tcPr>
          <w:p>
            <w:pPr>
              <w:spacing w:after="0"/>
            </w:pPr>
            <w:r>
              <w:rPr>
                <w:b w:val="false"/>
                <w:bCs w:val="false"/>
                <w:sz w:val="20"/>
                <w:szCs w:val="20"/>
              </w:rPr>
              <w:t xml:space="preserve">Kami menyarankan mulai dari (a); bisa ditingkatkan ke (b) kapan saja.</w:t>
            </w:r>
          </w:p>
        </w:tc>
      </w:tr>
      <w:tr>
        <w:tc>
          <w:tcPr>
            <w:tcW w:type="dxa" w:w="1700"/>
            <w:shd w:fill="DEEBF7" w:val="clear"/>
            <w:tcMar>
              <w:top w:type="dxa" w:w="80"/>
              <w:left w:type="dxa" w:w="120"/>
              <w:bottom w:type="dxa" w:w="80"/>
              <w:right w:type="dxa" w:w="120"/>
            </w:tcMar>
          </w:tcPr>
          <w:p>
            <w:pPr>
              <w:spacing w:after="0"/>
            </w:pPr>
            <w:r>
              <w:rPr>
                <w:b/>
                <w:bCs/>
                <w:sz w:val="20"/>
                <w:szCs w:val="20"/>
              </w:rPr>
              <w:t xml:space="preserve">Akun pembayaran online (payment gateway) per PT</w:t>
            </w:r>
          </w:p>
        </w:tc>
        <w:tc>
          <w:tcPr>
            <w:tcW w:type="dxa" w:w="2600"/>
            <w:shd w:fill="DEEBF7" w:val="clear"/>
            <w:tcMar>
              <w:top w:type="dxa" w:w="80"/>
              <w:left w:type="dxa" w:w="120"/>
              <w:bottom w:type="dxa" w:w="80"/>
              <w:right w:type="dxa" w:w="120"/>
            </w:tcMar>
          </w:tcPr>
          <w:p>
            <w:pPr>
              <w:spacing w:after="0"/>
            </w:pPr>
            <w:r>
              <w:rPr>
                <w:b w:val="false"/>
                <w:bCs w:val="false"/>
                <w:sz w:val="20"/>
                <w:szCs w:val="20"/>
              </w:rPr>
              <w:t xml:space="preserve">Akun payment gateway terdaftar atas nama satu badan usaha — uang pembayaran customer masuk ke rekening PT pemilik akun, dan nama PT itu yang tampil di halaman pembayaran.</w:t>
            </w:r>
          </w:p>
        </w:tc>
        <w:tc>
          <w:tcPr>
            <w:tcW w:type="dxa" w:w="3400"/>
            <w:shd w:fill="DEEBF7" w:val="clear"/>
            <w:tcMar>
              <w:top w:type="dxa" w:w="80"/>
              <w:left w:type="dxa" w:w="120"/>
              <w:bottom w:type="dxa" w:w="80"/>
              <w:right w:type="dxa" w:w="120"/>
            </w:tcMar>
          </w:tcPr>
          <w:p>
            <w:pPr>
              <w:spacing w:after="0"/>
            </w:pPr>
            <w:r>
              <w:rPr>
                <w:b w:val="false"/>
                <w:bCs w:val="false"/>
                <w:sz w:val="20"/>
                <w:szCs w:val="20"/>
              </w:rPr>
              <w:t xml:space="preserve">(a) Sementara satu akun dipakai semua PT — uang harus dipindahbukukan antar PT secara manual dan nama merchant tidak sesuai PT penjual. (b) Setiap PT mendaftarkan akun gateway sendiri — uang langsung masuk ke rekening PT masing-masing.</w:t>
            </w:r>
          </w:p>
        </w:tc>
        <w:tc>
          <w:tcPr>
            <w:tcW w:type="dxa" w:w="2020"/>
            <w:shd w:fill="DEEBF7" w:val="clear"/>
            <w:tcMar>
              <w:top w:type="dxa" w:w="80"/>
              <w:left w:type="dxa" w:w="120"/>
              <w:bottom w:type="dxa" w:w="80"/>
              <w:right w:type="dxa" w:w="120"/>
            </w:tcMar>
          </w:tcPr>
          <w:p>
            <w:pPr>
              <w:spacing w:after="0"/>
            </w:pPr>
            <w:r>
              <w:rPr>
                <w:b w:val="false"/>
                <w:bCs w:val="false"/>
                <w:sz w:val="20"/>
                <w:szCs w:val="20"/>
              </w:rPr>
              <w:t xml:space="preserve">Kami sarankan (b) dan sistem akan kami siapkan untuk itu. Perlu konfirmasi finance serta pendaftaran akun gateway untuk tiap PT baru.</w:t>
            </w:r>
          </w:p>
        </w:tc>
      </w:tr>
      <w:tr>
        <w:tc>
          <w:tcPr>
            <w:tcW w:type="dxa" w:w="1700"/>
            <w:tcMar>
              <w:top w:type="dxa" w:w="80"/>
              <w:left w:type="dxa" w:w="120"/>
              <w:bottom w:type="dxa" w:w="80"/>
              <w:right w:type="dxa" w:w="120"/>
            </w:tcMar>
          </w:tcPr>
          <w:p>
            <w:pPr>
              <w:spacing w:after="0"/>
            </w:pPr>
            <w:r>
              <w:rPr>
                <w:b/>
                <w:bCs/>
                <w:sz w:val="20"/>
                <w:szCs w:val="20"/>
              </w:rPr>
              <w:t xml:space="preserve">Faktur pajak</w:t>
            </w:r>
          </w:p>
        </w:tc>
        <w:tc>
          <w:tcPr>
            <w:tcW w:type="dxa" w:w="2600"/>
            <w:tcMar>
              <w:top w:type="dxa" w:w="80"/>
              <w:left w:type="dxa" w:w="120"/>
              <w:bottom w:type="dxa" w:w="80"/>
              <w:right w:type="dxa" w:w="120"/>
            </w:tcMar>
          </w:tcPr>
          <w:p>
            <w:pPr>
              <w:spacing w:after="0"/>
            </w:pPr>
            <w:r>
              <w:rPr>
                <w:b w:val="false"/>
                <w:bCs w:val="false"/>
                <w:sz w:val="20"/>
                <w:szCs w:val="20"/>
              </w:rPr>
              <w:t xml:space="preserve">Setiap PT memiliki NPWP sendiri. Faktur pajak atas transaksi harus terbit atas nama PT penjual.</w:t>
            </w:r>
          </w:p>
        </w:tc>
        <w:tc>
          <w:tcPr>
            <w:tcW w:type="dxa" w:w="3400"/>
            <w:tcMar>
              <w:top w:type="dxa" w:w="80"/>
              <w:left w:type="dxa" w:w="120"/>
              <w:bottom w:type="dxa" w:w="80"/>
              <w:right w:type="dxa" w:w="120"/>
            </w:tcMar>
          </w:tcPr>
          <w:p>
            <w:pPr>
              <w:spacing w:after="0"/>
            </w:pPr>
            <w:r>
              <w:rPr>
                <w:b w:val="false"/>
                <w:bCs w:val="false"/>
                <w:sz w:val="20"/>
                <w:szCs w:val="20"/>
              </w:rPr>
              <w:t xml:space="preserve">Perlu konfirmasi ke bagian pajak: apakah ada ketentuan penomoran/administrasi faktur khusus per NPWP yang harus kami ikuti di sistem.</w:t>
            </w:r>
          </w:p>
        </w:tc>
        <w:tc>
          <w:tcPr>
            <w:tcW w:type="dxa" w:w="2020"/>
            <w:tcMar>
              <w:top w:type="dxa" w:w="80"/>
              <w:left w:type="dxa" w:w="120"/>
              <w:bottom w:type="dxa" w:w="80"/>
              <w:right w:type="dxa" w:w="120"/>
            </w:tcMar>
          </w:tcPr>
          <w:p>
            <w:pPr>
              <w:spacing w:after="0"/>
            </w:pPr>
            <w:r>
              <w:rPr>
                <w:b w:val="false"/>
                <w:bCs w:val="false"/>
                <w:sz w:val="20"/>
                <w:szCs w:val="20"/>
              </w:rPr>
              <w:t xml:space="preserve">Mohon dihubungkan dengan konsultan pajak/finance.</w:t>
            </w:r>
          </w:p>
        </w:tc>
      </w:tr>
      <w:tr>
        <w:tc>
          <w:tcPr>
            <w:tcW w:type="dxa" w:w="1700"/>
            <w:shd w:fill="DEEBF7" w:val="clear"/>
            <w:tcMar>
              <w:top w:type="dxa" w:w="80"/>
              <w:left w:type="dxa" w:w="120"/>
              <w:bottom w:type="dxa" w:w="80"/>
              <w:right w:type="dxa" w:w="120"/>
            </w:tcMar>
          </w:tcPr>
          <w:p>
            <w:pPr>
              <w:spacing w:after="0"/>
            </w:pPr>
            <w:r>
              <w:rPr>
                <w:b/>
                <w:bCs/>
                <w:sz w:val="20"/>
                <w:szCs w:val="20"/>
              </w:rPr>
              <w:t xml:space="preserve">Wishlist &amp; ulasan produk</w:t>
            </w:r>
          </w:p>
        </w:tc>
        <w:tc>
          <w:tcPr>
            <w:tcW w:type="dxa" w:w="2600"/>
            <w:shd w:fill="DEEBF7" w:val="clear"/>
            <w:tcMar>
              <w:top w:type="dxa" w:w="80"/>
              <w:left w:type="dxa" w:w="120"/>
              <w:bottom w:type="dxa" w:w="80"/>
              <w:right w:type="dxa" w:w="120"/>
            </w:tcMar>
          </w:tcPr>
          <w:p>
            <w:pPr>
              <w:spacing w:after="0"/>
            </w:pPr>
            <w:r>
              <w:rPr>
                <w:b w:val="false"/>
                <w:bCs w:val="false"/>
                <w:sz w:val="20"/>
                <w:szCs w:val="20"/>
              </w:rPr>
              <w:t xml:space="preserve">Wishlist dan ulasan menempel pada produk masing-masing PT.</w:t>
            </w:r>
          </w:p>
        </w:tc>
        <w:tc>
          <w:tcPr>
            <w:tcW w:type="dxa" w:w="3400"/>
            <w:shd w:fill="DEEBF7" w:val="clear"/>
            <w:tcMar>
              <w:top w:type="dxa" w:w="80"/>
              <w:left w:type="dxa" w:w="120"/>
              <w:bottom w:type="dxa" w:w="80"/>
              <w:right w:type="dxa" w:w="120"/>
            </w:tcMar>
          </w:tcPr>
          <w:p>
            <w:pPr>
              <w:spacing w:after="0"/>
            </w:pPr>
            <w:r>
              <w:rPr>
                <w:b w:val="false"/>
                <w:bCs w:val="false"/>
                <w:sz w:val="20"/>
                <w:szCs w:val="20"/>
              </w:rPr>
              <w:t xml:space="preserve">Tidak ada opsi yang perlu dipilih — hanya konfirmasi bahwa ini sesuai harapan.</w:t>
            </w:r>
          </w:p>
        </w:tc>
        <w:tc>
          <w:tcPr>
            <w:tcW w:type="dxa" w:w="2020"/>
            <w:shd w:fill="DEEBF7" w:val="clear"/>
            <w:tcMar>
              <w:top w:type="dxa" w:w="80"/>
              <w:left w:type="dxa" w:w="120"/>
              <w:bottom w:type="dxa" w:w="80"/>
              <w:right w:type="dxa" w:w="120"/>
            </w:tcMar>
          </w:tcPr>
          <w:p>
            <w:pPr>
              <w:spacing w:after="0"/>
            </w:pPr>
            <w:r>
              <w:rPr>
                <w:b w:val="false"/>
                <w:bCs w:val="false"/>
                <w:sz w:val="20"/>
                <w:szCs w:val="20"/>
              </w:rPr>
              <w:t xml:space="preserve">Berjalan otomatis per produk; cukup konfirmasi.</w:t>
            </w:r>
          </w:p>
        </w:tc>
      </w:tr>
      <w:tr>
        <w:tc>
          <w:tcPr>
            <w:tcW w:type="dxa" w:w="1700"/>
            <w:tcMar>
              <w:top w:type="dxa" w:w="80"/>
              <w:left w:type="dxa" w:w="120"/>
              <w:bottom w:type="dxa" w:w="80"/>
              <w:right w:type="dxa" w:w="120"/>
            </w:tcMar>
          </w:tcPr>
          <w:p>
            <w:pPr>
              <w:spacing w:after="0"/>
            </w:pPr>
            <w:r>
              <w:rPr>
                <w:b/>
                <w:bCs/>
                <w:sz w:val="20"/>
                <w:szCs w:val="20"/>
              </w:rPr>
              <w:t xml:space="preserve">Membuka PT baru di sistem</w:t>
            </w:r>
          </w:p>
        </w:tc>
        <w:tc>
          <w:tcPr>
            <w:tcW w:type="dxa" w:w="2600"/>
            <w:tcMar>
              <w:top w:type="dxa" w:w="80"/>
              <w:left w:type="dxa" w:w="120"/>
              <w:bottom w:type="dxa" w:w="80"/>
              <w:right w:type="dxa" w:w="120"/>
            </w:tcMar>
          </w:tcPr>
          <w:p>
            <w:pPr>
              <w:spacing w:after="0"/>
            </w:pPr>
            <w:r>
              <w:rPr>
                <w:b w:val="false"/>
                <w:bCs w:val="false"/>
                <w:sz w:val="20"/>
                <w:szCs w:val="20"/>
              </w:rPr>
              <w:t xml:space="preserve">Saat PT baru ditambahkan, katalog produknya dimulai dari mana?</w:t>
            </w:r>
          </w:p>
        </w:tc>
        <w:tc>
          <w:tcPr>
            <w:tcW w:type="dxa" w:w="3400"/>
            <w:tcMar>
              <w:top w:type="dxa" w:w="80"/>
              <w:left w:type="dxa" w:w="120"/>
              <w:bottom w:type="dxa" w:w="80"/>
              <w:right w:type="dxa" w:w="120"/>
            </w:tcMar>
          </w:tcPr>
          <w:p>
            <w:pPr>
              <w:spacing w:after="0"/>
            </w:pPr>
            <w:r>
              <w:rPr>
                <w:b w:val="false"/>
                <w:bCs w:val="false"/>
                <w:sz w:val="20"/>
                <w:szCs w:val="20"/>
              </w:rPr>
              <w:t xml:space="preserve">(a) Selalu input dari awal. (b) Bisa menyalin daftar produk dari PT lain sebagai template awal (stok &amp; harga tetap diisi sendiri).</w:t>
            </w:r>
          </w:p>
        </w:tc>
        <w:tc>
          <w:tcPr>
            <w:tcW w:type="dxa" w:w="2020"/>
            <w:tcMar>
              <w:top w:type="dxa" w:w="80"/>
              <w:left w:type="dxa" w:w="120"/>
              <w:bottom w:type="dxa" w:w="80"/>
              <w:right w:type="dxa" w:w="120"/>
            </w:tcMar>
          </w:tcPr>
          <w:p>
            <w:pPr>
              <w:spacing w:after="0"/>
            </w:pPr>
            <w:r>
              <w:rPr>
                <w:b w:val="false"/>
                <w:bCs w:val="false"/>
                <w:sz w:val="20"/>
                <w:szCs w:val="20"/>
              </w:rPr>
              <w:t xml:space="preserve">Jika PT-PT menjual barang serupa, (b) akan menghemat banyak waktu.</w:t>
            </w:r>
          </w:p>
        </w:tc>
      </w:tr>
    </w:tbl>
    <w:p>
      <w:pPr>
        <w:spacing w:before="240"/>
      </w:pPr>
    </w:p>
    <w:p>
      <w:pPr>
        <w:pStyle w:val="Heading1"/>
        <w:spacing w:after="140" w:before="280"/>
      </w:pPr>
      <w:r>
        <w:t xml:space="preserve">6. Langkah Selanjutnya</w:t>
      </w:r>
    </w:p>
    <w:p>
      <w:pPr>
        <w:pStyle w:val="ListParagraph"/>
        <w:numPr>
          <w:ilvl w:val="0"/>
          <w:numId w:val="4"/>
        </w:numPr>
        <w:spacing w:after="80"/>
      </w:pPr>
      <w:r>
        <w:rPr>
          <w:b w:val="false"/>
          <w:bCs w:val="false"/>
        </w:rPr>
        <w:t xml:space="preserve">Bapak/Ibu mereview dokumen ini dan memberikan arahan atas poin-poin di Bagian 5.</w:t>
      </w:r>
    </w:p>
    <w:p>
      <w:pPr>
        <w:pStyle w:val="ListParagraph"/>
        <w:numPr>
          <w:ilvl w:val="0"/>
          <w:numId w:val="4"/>
        </w:numPr>
        <w:spacing w:after="80"/>
      </w:pPr>
      <w:r>
        <w:rPr>
          <w:b w:val="false"/>
          <w:bCs w:val="false"/>
        </w:rPr>
        <w:t xml:space="preserve">Kami finalkan rancangan berdasarkan arahan tersebut.</w:t>
      </w:r>
    </w:p>
    <w:p>
      <w:pPr>
        <w:pStyle w:val="ListParagraph"/>
        <w:numPr>
          <w:ilvl w:val="0"/>
          <w:numId w:val="4"/>
        </w:numPr>
        <w:spacing w:after="80"/>
      </w:pPr>
      <w:r>
        <w:rPr>
          <w:b w:val="false"/>
          <w:bCs w:val="false"/>
        </w:rPr>
        <w:t xml:space="preserve">Pengerjaan Tahap 1 dimulai. Estimasi waktu per tahap akan kami sampaikan setelah rancangan final disepakati.</w:t>
      </w:r>
    </w:p>
    <w:p>
      <w:pPr>
        <w:spacing w:after="140"/>
      </w:pPr>
      <w:r>
        <w:t xml:space="preserve"/>
      </w:r>
    </w:p>
    <w:p>
      <w:pPr>
        <w:spacing w:after="140"/>
      </w:pPr>
      <w:r>
        <w:rPr>
          <w:i/>
          <w:iCs/>
        </w:rPr>
        <w:t xml:space="preserve">Apabila ada bagian yang kurang jelas atau ada kebutuhan yang belum tercakup, dengan senang hati kami diskusikan lebih lanjut.</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abstractNum w:abstractNumId="3" w15:restartNumberingAfterBreak="0">
    <w:multiLevelType w:val="hybridMultilevel"/>
    <w:lvl w:ilvl="0" w15:tentative="1">
      <w:start w:val="1"/>
      <w:numFmt w:val="decimal"/>
      <w:lvlText w:val="%1."/>
      <w:lvlJc w:val="start"/>
      <w:pPr>
        <w:ind w:left="480" w:hanging="240"/>
      </w:pPr>
    </w:lvl>
  </w:abstractNum>
  <w:abstractNum w:abstractNumId="4"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1F4E79"/>
      <w:sz w:val="30"/>
      <w:szCs w:val="30"/>
    </w:rPr>
  </w:style>
  <w:style w:type="paragraph" w:styleId="Heading2">
    <w:name w:val="Heading 2"/>
    <w:basedOn w:val="Normal"/>
    <w:next w:val="Normal"/>
    <w:qFormat/>
    <w:pPr>
      <w:spacing w:after="100" w:before="220"/>
    </w:pPr>
    <w:rPr>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2026-07-18T03:19:14.006Z</dcterms:created>
  <dcterms:modified xsi:type="dcterms:W3CDTF">2026-07-18T03:19:14.007Z</dcterms:modified>
</cp:coreProperties>
</file>

<file path=docProps/custom.xml><?xml version="1.0" encoding="utf-8"?>
<Properties xmlns="http://schemas.openxmlformats.org/officeDocument/2006/custom-properties" xmlns:vt="http://schemas.openxmlformats.org/officeDocument/2006/docPropsVTypes"/>
</file>