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Group-Based Cross-Validation ile Frekans Formülleri</w:t>
      </w:r>
    </w:p>
    <w:p>
      <w:r>
        <w:t>Linear and symbolic regression performance was evaluated using geometry-grouped five-fold cross-validation. All realizations sharing the same geometry were kept within the same fold, so the reported test performance represents generalization to previously unseen geometry groups within the adopted numerical database.</w:t>
      </w:r>
    </w:p>
    <w:p>
      <w:r>
        <w:t>Geometry group definition: H_m, D0_m, Dtop_m, t_m, B_kaide_m, H_silindir.</w:t>
      </w:r>
    </w:p>
    <w:p>
      <w:r>
        <w:t>The cleaned dataset contains 1146 realizations and 191 unique geometry groups.</w:t>
      </w:r>
    </w:p>
    <w:p>
      <w:r>
        <w:t>Parity plots are based on pooled held-out outer-test predictions and include the ideal 1:1 line and ±20% relative-error bounds. Final equations are re-fitted using the complete dataset only after cross-validated performance evaluation.</w:t>
      </w:r>
    </w:p>
    <w:p>
      <w:pPr>
        <w:pStyle w:val="Heading2"/>
      </w:pPr>
      <w:r>
        <w:t>f1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Training R²</w:t>
            </w:r>
          </w:p>
        </w:tc>
        <w:tc>
          <w:tcPr>
            <w:tcW w:type="dxa" w:w="1080"/>
          </w:tcPr>
          <w:p>
            <w:r>
              <w:t>Test R²</w:t>
            </w:r>
          </w:p>
        </w:tc>
        <w:tc>
          <w:tcPr>
            <w:tcW w:type="dxa" w:w="1080"/>
          </w:tcPr>
          <w:p>
            <w:r>
              <w:t>Training MAE</w:t>
            </w:r>
          </w:p>
        </w:tc>
        <w:tc>
          <w:tcPr>
            <w:tcW w:type="dxa" w:w="1080"/>
          </w:tcPr>
          <w:p>
            <w:r>
              <w:t>Test MAE</w:t>
            </w:r>
          </w:p>
        </w:tc>
        <w:tc>
          <w:tcPr>
            <w:tcW w:type="dxa" w:w="1080"/>
          </w:tcPr>
          <w:p>
            <w:r>
              <w:t>Training RMSE</w:t>
            </w:r>
          </w:p>
        </w:tc>
        <w:tc>
          <w:tcPr>
            <w:tcW w:type="dxa" w:w="1080"/>
          </w:tcPr>
          <w:p>
            <w:r>
              <w:t>Test RMSE</w:t>
            </w:r>
          </w:p>
        </w:tc>
        <w:tc>
          <w:tcPr>
            <w:tcW w:type="dxa" w:w="1080"/>
          </w:tcPr>
          <w:p>
            <w:r>
              <w:t>Test SMAPE</w:t>
            </w:r>
          </w:p>
        </w:tc>
      </w:tr>
      <w:tr>
        <w:tc>
          <w:tcPr>
            <w:tcW w:type="dxa" w:w="1080"/>
          </w:tcPr>
          <w:p>
            <w:r>
              <w:t>Linear Regression</w:t>
            </w:r>
          </w:p>
        </w:tc>
        <w:tc>
          <w:tcPr>
            <w:tcW w:type="dxa" w:w="1080"/>
          </w:tcPr>
          <w:p>
            <w:r>
              <w:t>0.8713 ± 0.0056</w:t>
            </w:r>
          </w:p>
        </w:tc>
        <w:tc>
          <w:tcPr>
            <w:tcW w:type="dxa" w:w="1080"/>
          </w:tcPr>
          <w:p>
            <w:r>
              <w:t>0.8465 ± 0.0410</w:t>
            </w:r>
          </w:p>
        </w:tc>
        <w:tc>
          <w:tcPr>
            <w:tcW w:type="dxa" w:w="1080"/>
          </w:tcPr>
          <w:p>
            <w:r>
              <w:t>0.1243 ± 0.0047</w:t>
            </w:r>
          </w:p>
        </w:tc>
        <w:tc>
          <w:tcPr>
            <w:tcW w:type="dxa" w:w="1080"/>
          </w:tcPr>
          <w:p>
            <w:r>
              <w:t>0.1307 ± 0.0101</w:t>
            </w:r>
          </w:p>
        </w:tc>
        <w:tc>
          <w:tcPr>
            <w:tcW w:type="dxa" w:w="1080"/>
          </w:tcPr>
          <w:p>
            <w:r>
              <w:t>0.1804 ± 0.0044</w:t>
            </w:r>
          </w:p>
        </w:tc>
        <w:tc>
          <w:tcPr>
            <w:tcW w:type="dxa" w:w="1080"/>
          </w:tcPr>
          <w:p>
            <w:r>
              <w:t>0.1907 ± 0.0175</w:t>
            </w:r>
          </w:p>
        </w:tc>
        <w:tc>
          <w:tcPr>
            <w:tcW w:type="dxa" w:w="1080"/>
          </w:tcPr>
          <w:p>
            <w:r>
              <w:t>24.95 ± 3.43%</w:t>
            </w:r>
          </w:p>
        </w:tc>
      </w:tr>
      <w:tr>
        <w:tc>
          <w:tcPr>
            <w:tcW w:type="dxa" w:w="1080"/>
          </w:tcPr>
          <w:p>
            <w:r>
              <w:t>Symbolic Regression (PySR)</w:t>
            </w:r>
          </w:p>
        </w:tc>
        <w:tc>
          <w:tcPr>
            <w:tcW w:type="dxa" w:w="1080"/>
          </w:tcPr>
          <w:p>
            <w:r>
              <w:t>0.9763 ± 0.0096</w:t>
            </w:r>
          </w:p>
        </w:tc>
        <w:tc>
          <w:tcPr>
            <w:tcW w:type="dxa" w:w="1080"/>
          </w:tcPr>
          <w:p>
            <w:r>
              <w:t>0.9681 ± 0.0352</w:t>
            </w:r>
          </w:p>
        </w:tc>
        <w:tc>
          <w:tcPr>
            <w:tcW w:type="dxa" w:w="1080"/>
          </w:tcPr>
          <w:p>
            <w:r>
              <w:t>0.0489 ± 0.0094</w:t>
            </w:r>
          </w:p>
        </w:tc>
        <w:tc>
          <w:tcPr>
            <w:tcW w:type="dxa" w:w="1080"/>
          </w:tcPr>
          <w:p>
            <w:r>
              <w:t>0.0494 ± 0.0085</w:t>
            </w:r>
          </w:p>
        </w:tc>
        <w:tc>
          <w:tcPr>
            <w:tcW w:type="dxa" w:w="1080"/>
          </w:tcPr>
          <w:p>
            <w:r>
              <w:t>0.0751 ± 0.0170</w:t>
            </w:r>
          </w:p>
        </w:tc>
        <w:tc>
          <w:tcPr>
            <w:tcW w:type="dxa" w:w="1080"/>
          </w:tcPr>
          <w:p>
            <w:r>
              <w:t>0.0770 ± 0.0243</w:t>
            </w:r>
          </w:p>
        </w:tc>
        <w:tc>
          <w:tcPr>
            <w:tcW w:type="dxa" w:w="1080"/>
          </w:tcPr>
          <w:p>
            <w:r>
              <w:t>6.39 ± 1.14%</w:t>
            </w:r>
          </w:p>
        </w:tc>
      </w:tr>
    </w:tbl>
    <w:p>
      <w:pPr>
        <w:pStyle w:val="Heading3"/>
      </w:pPr>
      <w:r>
        <w:t>Final full-data equations</w:t>
      </w:r>
    </w:p>
    <w:p>
      <w:r>
        <w:t>The following equations were re-fitted using the complete dataset only after group-based cross-validation. Their predictive performance should be reported using the grouped outer-test results above, not the full-data fit statistics.</w:t>
      </w:r>
    </w:p>
    <w:p>
      <w:r>
        <w:t>f1 = 7.9382304 + 0.026279174*H - 3.6119192*D0 + 0.10987161*Dtop + 0.23220312*t + 1.6992885*B + 0.61929176*sqrtE_rho - 0.21632307*H_D0 - 0.72590959*Dtop_D0 + 0.97865207*t_D0 - 2.3059291*B_D0</w:t>
      </w:r>
    </w:p>
    <w:p>
      <w:r>
        <w:t>f1 = 1171.95236318522*sqrtE_rho*(t + sqrt(D0 - 0.8187234))*(1/H)**1.2772571/H</w:t>
      </w:r>
    </w:p>
    <w:p>
      <w:pPr>
        <w:pStyle w:val="Heading3"/>
      </w:pPr>
      <w:r>
        <w:t>Grouped outer-test parity plots</w:t>
      </w:r>
    </w:p>
    <w:p>
      <w:r>
        <w:drawing>
          <wp:inline xmlns:a="http://schemas.openxmlformats.org/drawingml/2006/main" xmlns:pic="http://schemas.openxmlformats.org/drawingml/2006/picture">
            <wp:extent cx="5943600" cy="3173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GroupCV_Parity_f1_H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f2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Training R²</w:t>
            </w:r>
          </w:p>
        </w:tc>
        <w:tc>
          <w:tcPr>
            <w:tcW w:type="dxa" w:w="1080"/>
          </w:tcPr>
          <w:p>
            <w:r>
              <w:t>Test R²</w:t>
            </w:r>
          </w:p>
        </w:tc>
        <w:tc>
          <w:tcPr>
            <w:tcW w:type="dxa" w:w="1080"/>
          </w:tcPr>
          <w:p>
            <w:r>
              <w:t>Training MAE</w:t>
            </w:r>
          </w:p>
        </w:tc>
        <w:tc>
          <w:tcPr>
            <w:tcW w:type="dxa" w:w="1080"/>
          </w:tcPr>
          <w:p>
            <w:r>
              <w:t>Test MAE</w:t>
            </w:r>
          </w:p>
        </w:tc>
        <w:tc>
          <w:tcPr>
            <w:tcW w:type="dxa" w:w="1080"/>
          </w:tcPr>
          <w:p>
            <w:r>
              <w:t>Training RMSE</w:t>
            </w:r>
          </w:p>
        </w:tc>
        <w:tc>
          <w:tcPr>
            <w:tcW w:type="dxa" w:w="1080"/>
          </w:tcPr>
          <w:p>
            <w:r>
              <w:t>Test RMSE</w:t>
            </w:r>
          </w:p>
        </w:tc>
        <w:tc>
          <w:tcPr>
            <w:tcW w:type="dxa" w:w="1080"/>
          </w:tcPr>
          <w:p>
            <w:r>
              <w:t>Test SMAPE</w:t>
            </w:r>
          </w:p>
        </w:tc>
      </w:tr>
      <w:tr>
        <w:tc>
          <w:tcPr>
            <w:tcW w:type="dxa" w:w="1080"/>
          </w:tcPr>
          <w:p>
            <w:r>
              <w:t>Linear Regression</w:t>
            </w:r>
          </w:p>
        </w:tc>
        <w:tc>
          <w:tcPr>
            <w:tcW w:type="dxa" w:w="1080"/>
          </w:tcPr>
          <w:p>
            <w:r>
              <w:t>0.8713 ± 0.0057</w:t>
            </w:r>
          </w:p>
        </w:tc>
        <w:tc>
          <w:tcPr>
            <w:tcW w:type="dxa" w:w="1080"/>
          </w:tcPr>
          <w:p>
            <w:r>
              <w:t>0.8466 ± 0.0413</w:t>
            </w:r>
          </w:p>
        </w:tc>
        <w:tc>
          <w:tcPr>
            <w:tcW w:type="dxa" w:w="1080"/>
          </w:tcPr>
          <w:p>
            <w:r>
              <w:t>0.1255 ± 0.0048</w:t>
            </w:r>
          </w:p>
        </w:tc>
        <w:tc>
          <w:tcPr>
            <w:tcW w:type="dxa" w:w="1080"/>
          </w:tcPr>
          <w:p>
            <w:r>
              <w:t>0.1318 ± 0.0103</w:t>
            </w:r>
          </w:p>
        </w:tc>
        <w:tc>
          <w:tcPr>
            <w:tcW w:type="dxa" w:w="1080"/>
          </w:tcPr>
          <w:p>
            <w:r>
              <w:t>0.1820 ± 0.0045</w:t>
            </w:r>
          </w:p>
        </w:tc>
        <w:tc>
          <w:tcPr>
            <w:tcW w:type="dxa" w:w="1080"/>
          </w:tcPr>
          <w:p>
            <w:r>
              <w:t>0.1923 ± 0.0177</w:t>
            </w:r>
          </w:p>
        </w:tc>
        <w:tc>
          <w:tcPr>
            <w:tcW w:type="dxa" w:w="1080"/>
          </w:tcPr>
          <w:p>
            <w:r>
              <w:t>25.03 ± 3.46%</w:t>
            </w:r>
          </w:p>
        </w:tc>
      </w:tr>
      <w:tr>
        <w:tc>
          <w:tcPr>
            <w:tcW w:type="dxa" w:w="1080"/>
          </w:tcPr>
          <w:p>
            <w:r>
              <w:t>Symbolic Regression (PySR)</w:t>
            </w:r>
          </w:p>
        </w:tc>
        <w:tc>
          <w:tcPr>
            <w:tcW w:type="dxa" w:w="1080"/>
          </w:tcPr>
          <w:p>
            <w:r>
              <w:t>0.9731 ± 0.0085</w:t>
            </w:r>
          </w:p>
        </w:tc>
        <w:tc>
          <w:tcPr>
            <w:tcW w:type="dxa" w:w="1080"/>
          </w:tcPr>
          <w:p>
            <w:r>
              <w:t>0.9570 ± 0.0378</w:t>
            </w:r>
          </w:p>
        </w:tc>
        <w:tc>
          <w:tcPr>
            <w:tcW w:type="dxa" w:w="1080"/>
          </w:tcPr>
          <w:p>
            <w:r>
              <w:t>0.0547 ± 0.0072</w:t>
            </w:r>
          </w:p>
        </w:tc>
        <w:tc>
          <w:tcPr>
            <w:tcW w:type="dxa" w:w="1080"/>
          </w:tcPr>
          <w:p>
            <w:r>
              <w:t>0.0583 ± 0.0158</w:t>
            </w:r>
          </w:p>
        </w:tc>
        <w:tc>
          <w:tcPr>
            <w:tcW w:type="dxa" w:w="1080"/>
          </w:tcPr>
          <w:p>
            <w:r>
              <w:t>0.0820 ± 0.0117</w:t>
            </w:r>
          </w:p>
        </w:tc>
        <w:tc>
          <w:tcPr>
            <w:tcW w:type="dxa" w:w="1080"/>
          </w:tcPr>
          <w:p>
            <w:r>
              <w:t>0.0916 ± 0.0318</w:t>
            </w:r>
          </w:p>
        </w:tc>
        <w:tc>
          <w:tcPr>
            <w:tcW w:type="dxa" w:w="1080"/>
          </w:tcPr>
          <w:p>
            <w:r>
              <w:t>7.41 ± 2.11%</w:t>
            </w:r>
          </w:p>
        </w:tc>
      </w:tr>
    </w:tbl>
    <w:p>
      <w:pPr>
        <w:pStyle w:val="Heading3"/>
      </w:pPr>
      <w:r>
        <w:t>Final full-data equations</w:t>
      </w:r>
    </w:p>
    <w:p>
      <w:r>
        <w:t>The following equations were re-fitted using the complete dataset only after group-based cross-validation. Their predictive performance should be reported using the grouped outer-test results above, not the full-data fit statistics.</w:t>
      </w:r>
    </w:p>
    <w:p>
      <w:r>
        <w:t>f2 = 8.0240702 + 0.026651692*H - 3.6520142*D0 + 0.10899758*Dtop + 0.26109668*t + 1.7170652*B + 0.62339945*sqrtE_rho - 0.21858068*H_D0 - 0.72299186*Dtop_D0 + 0.85693278*t_D0 - 2.3279806*B_D0</w:t>
      </w:r>
    </w:p>
    <w:p>
      <w:r>
        <w:t>f2 = sqrtE_rho*(D0*(8.660717 - D0)/(H - 11.449657))**1.2869128</w:t>
      </w:r>
    </w:p>
    <w:p>
      <w:pPr>
        <w:pStyle w:val="Heading3"/>
      </w:pPr>
      <w:r>
        <w:t>Grouped outer-test parity plots</w:t>
      </w:r>
    </w:p>
    <w:p>
      <w:r>
        <w:drawing>
          <wp:inline xmlns:a="http://schemas.openxmlformats.org/drawingml/2006/main" xmlns:pic="http://schemas.openxmlformats.org/drawingml/2006/picture">
            <wp:extent cx="5943600" cy="3173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GroupCV_Parity_f2_H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5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