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1F3864"/>
          <w:sz w:val="24"/>
          <w:szCs w:val="24"/>
        </w:rPr>
        <w:t xml:space="preserve">Ali Hamdy +MIN5_DATA3_S1</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14800"/>
      </w:tblGrid>
      <w:tr>
        <w:trPr>
          <w:cantSplit/>
        </w:trPr>
        <w:tc>
          <w:tcPr>
            <w:tcW w:type="dxa" w:w="14800"/>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vAlign w:val="center"/>
          </w:tcPr>
          <w:p>
            <w:pPr>
              <w:spacing w:after="80"/>
            </w:pPr>
            <w:r>
              <w:rPr>
                <w:rFonts w:ascii="Calibri" w:cs="Calibri" w:eastAsia="Calibri" w:hAnsi="Calibri"/>
                <w:b/>
                <w:bCs/>
                <w:color w:val="BDD7EE"/>
                <w:spacing w:val="40"/>
                <w:sz w:val="20"/>
                <w:szCs w:val="20"/>
              </w:rPr>
              <w:t xml:space="preserve">PROJECT PLANNING &amp; MANAGEMENT</w:t>
            </w:r>
          </w:p>
          <w:p>
            <w:pPr>
              <w:spacing w:after="60"/>
            </w:pPr>
            <w:r>
              <w:rPr>
                <w:rFonts w:ascii="Calibri" w:cs="Calibri" w:eastAsia="Calibri" w:hAnsi="Calibri"/>
                <w:b/>
                <w:bCs/>
                <w:color w:val="FFFFFF"/>
                <w:sz w:val="56"/>
                <w:szCs w:val="56"/>
              </w:rPr>
              <w:t xml:space="preserve">Risk Assessment &amp; Mitigation Plan</w:t>
            </w:r>
          </w:p>
          <w:p>
            <w:pPr>
              <w:spacing w:after="0"/>
            </w:pPr>
            <w:r>
              <w:rPr>
                <w:rFonts w:ascii="Calibri" w:cs="Calibri" w:eastAsia="Calibri" w:hAnsi="Calibri"/>
                <w:color w:val="DEEAF6"/>
                <w:sz w:val="24"/>
                <w:szCs w:val="24"/>
              </w:rPr>
              <w:t xml:space="preserve">Conflict Intelligence – what could go wrong, how we prevent it, and what we do if it happens</w:t>
            </w:r>
          </w:p>
        </w:tc>
      </w:tr>
    </w:tbl>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gridCol w:w="4934"/>
      </w:tblGrid>
      <w:tr>
        <w:trPr>
          <w:cantSplit/>
        </w:trPr>
        <w:tc>
          <w:tcPr>
            <w:tcW w:type="dxa" w:w="4933"/>
            <w:tcBorders>
              <w:top w:val="none" w:color="FFFFFF" w:sz="0"/>
              <w:left w:val="none" w:color="FFFFFF" w:sz="0"/>
              <w:bottom w:val="none" w:color="FFFFFF" w:sz="0"/>
              <w:right w:val="none" w:color="FFFFFF" w:sz="0"/>
            </w:tcBorders>
            <w:shd w:fill="EAF1FB" w:color="auto" w:val="clear"/>
            <w:tcMar>
              <w:top w:type="dxa" w:w="60"/>
              <w:left w:type="dxa" w:w="120"/>
              <w:bottom w:type="dxa" w:w="60"/>
              <w:right w:type="dxa" w:w="120"/>
            </w:tcMar>
            <w:vAlign w:val="center"/>
          </w:tcPr>
          <w:p>
            <w:pPr>
              <w:spacing w:after="20"/>
            </w:pPr>
            <w:r>
              <w:rPr>
                <w:rFonts w:ascii="Calibri" w:cs="Calibri" w:eastAsia="Calibri" w:hAnsi="Calibri"/>
                <w:b/>
                <w:bCs/>
                <w:color w:val="595959"/>
                <w:sz w:val="18"/>
                <w:szCs w:val="18"/>
              </w:rPr>
              <w:t xml:space="preserve">PROGRAM</w:t>
            </w:r>
          </w:p>
          <w:p>
            <w:pPr>
              <w:spacing w:after="0"/>
            </w:pPr>
            <w:r>
              <w:rPr>
                <w:rFonts w:ascii="Calibri" w:cs="Calibri" w:eastAsia="Calibri" w:hAnsi="Calibri"/>
                <w:b/>
                <w:bCs/>
                <w:color w:val="1F3864"/>
                <w:sz w:val="22"/>
                <w:szCs w:val="22"/>
              </w:rPr>
              <w:t xml:space="preserve">DEPI – Data Analyst Track</w:t>
            </w:r>
          </w:p>
        </w:tc>
        <w:tc>
          <w:tcPr>
            <w:tcW w:type="dxa" w:w="4933"/>
            <w:tcBorders>
              <w:top w:val="none" w:color="FFFFFF" w:sz="0"/>
              <w:left w:val="none" w:color="FFFFFF" w:sz="0"/>
              <w:bottom w:val="none" w:color="FFFFFF" w:sz="0"/>
              <w:right w:val="none" w:color="FFFFFF" w:sz="0"/>
            </w:tcBorders>
            <w:shd w:fill="EAF1FB" w:color="auto" w:val="clear"/>
            <w:tcMar>
              <w:top w:type="dxa" w:w="60"/>
              <w:left w:type="dxa" w:w="120"/>
              <w:bottom w:type="dxa" w:w="60"/>
              <w:right w:type="dxa" w:w="120"/>
            </w:tcMar>
            <w:vAlign w:val="center"/>
          </w:tcPr>
          <w:p>
            <w:pPr>
              <w:spacing w:after="20"/>
            </w:pPr>
            <w:r>
              <w:rPr>
                <w:rFonts w:ascii="Calibri" w:cs="Calibri" w:eastAsia="Calibri" w:hAnsi="Calibri"/>
                <w:b/>
                <w:bCs/>
                <w:color w:val="595959"/>
                <w:sz w:val="18"/>
                <w:szCs w:val="18"/>
              </w:rPr>
              <w:t xml:space="preserve">ROUND</w:t>
            </w:r>
          </w:p>
          <w:p>
            <w:pPr>
              <w:spacing w:after="0"/>
            </w:pPr>
            <w:r>
              <w:rPr>
                <w:rFonts w:ascii="Calibri" w:cs="Calibri" w:eastAsia="Calibri" w:hAnsi="Calibri"/>
                <w:b/>
                <w:bCs/>
                <w:color w:val="1F3864"/>
                <w:sz w:val="22"/>
                <w:szCs w:val="22"/>
              </w:rPr>
              <w:t xml:space="preserve">MIN5_DATA3_S1</w:t>
            </w:r>
          </w:p>
        </w:tc>
        <w:tc>
          <w:tcPr>
            <w:tcW w:type="dxa" w:w="4934"/>
            <w:tcBorders>
              <w:top w:val="none" w:color="FFFFFF" w:sz="0"/>
              <w:left w:val="none" w:color="FFFFFF" w:sz="0"/>
              <w:bottom w:val="none" w:color="FFFFFF" w:sz="0"/>
              <w:right w:val="none" w:color="FFFFFF" w:sz="0"/>
            </w:tcBorders>
            <w:shd w:fill="EAF1FB" w:color="auto" w:val="clear"/>
            <w:tcMar>
              <w:top w:type="dxa" w:w="60"/>
              <w:left w:type="dxa" w:w="120"/>
              <w:bottom w:type="dxa" w:w="60"/>
              <w:right w:type="dxa" w:w="120"/>
            </w:tcMar>
            <w:vAlign w:val="center"/>
          </w:tcPr>
          <w:p>
            <w:pPr>
              <w:spacing w:after="20"/>
            </w:pPr>
            <w:r>
              <w:rPr>
                <w:rFonts w:ascii="Calibri" w:cs="Calibri" w:eastAsia="Calibri" w:hAnsi="Calibri"/>
                <w:b/>
                <w:bCs/>
                <w:color w:val="595959"/>
                <w:sz w:val="18"/>
                <w:szCs w:val="18"/>
              </w:rPr>
              <w:t xml:space="preserve">COVERS</w:t>
            </w:r>
          </w:p>
          <w:p>
            <w:pPr>
              <w:spacing w:after="0"/>
            </w:pPr>
            <w:r>
              <w:rPr>
                <w:rFonts w:ascii="Calibri" w:cs="Calibri" w:eastAsia="Calibri" w:hAnsi="Calibri"/>
                <w:b/>
                <w:bCs/>
                <w:color w:val="1F3864"/>
                <w:sz w:val="22"/>
                <w:szCs w:val="22"/>
              </w:rPr>
              <w:t xml:space="preserve">49 risks in 6 areas</w:t>
            </w:r>
          </w:p>
        </w:tc>
      </w:tr>
    </w:tbl>
    <w:p>
      <w:pPr>
        <w:keepNext/>
        <w:pBdr>
          <w:bottom w:val="single" w:color="2E75B6" w:sz="8" w:space="4"/>
        </w:pBdr>
        <w:spacing w:after="140" w:before="300"/>
      </w:pPr>
      <w:r>
        <w:rPr>
          <w:rFonts w:ascii="Calibri" w:cs="Calibri" w:eastAsia="Calibri" w:hAnsi="Calibri"/>
          <w:b/>
          <w:bCs/>
          <w:color w:val="2E75B6"/>
          <w:sz w:val="30"/>
          <w:szCs w:val="30"/>
        </w:rPr>
        <w:t xml:space="preserve">1  </w:t>
      </w:r>
      <w:r>
        <w:rPr>
          <w:rFonts w:ascii="Calibri" w:cs="Calibri" w:eastAsia="Calibri" w:hAnsi="Calibri"/>
          <w:b/>
          <w:bCs/>
          <w:color w:val="1F3864"/>
          <w:sz w:val="30"/>
          <w:szCs w:val="30"/>
        </w:rPr>
        <w:t xml:space="preserve">Overview</w:t>
      </w:r>
    </w:p>
    <w:p>
      <w:pPr>
        <w:spacing w:after="100" w:line="290"/>
      </w:pPr>
      <w:r>
        <w:rPr>
          <w:rFonts w:ascii="Calibri" w:cs="Calibri" w:eastAsia="Calibri" w:hAnsi="Calibri"/>
          <w:color w:val="262626"/>
          <w:sz w:val="21"/>
          <w:szCs w:val="21"/>
        </w:rPr>
        <w:t xml:space="preserve">This register lists what could go wrong in the project, how serious it is, how we prevent it, and what we do if it happens. The risks are grouped into six areas: data, analysis, tools, team, schedule and scope, and documentation and delivery.</w:t>
      </w:r>
    </w:p>
    <w:p>
      <w:pPr>
        <w:keepNext/>
        <w:spacing w:after="100" w:before="200"/>
      </w:pPr>
      <w:r>
        <w:rPr>
          <w:rFonts w:ascii="Calibri" w:cs="Calibri" w:eastAsia="Calibri" w:hAnsi="Calibri"/>
          <w:b/>
          <w:bCs/>
          <w:color w:val="2E75B6"/>
          <w:sz w:val="24"/>
          <w:szCs w:val="24"/>
        </w:rPr>
        <w:t xml:space="preserve">1.1  How risks are rated</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2000"/>
        <w:gridCol w:w="5400"/>
        <w:gridCol w:w="7400"/>
      </w:tblGrid>
      <w:tr>
        <w:trPr>
          <w:cantSplit/>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20"/>
              <w:bottom w:type="dxa" w:w="60"/>
              <w:right w:type="dxa" w:w="120"/>
            </w:tcMar>
            <w:vAlign w:val="center"/>
          </w:tcPr>
          <w:p>
            <w:pPr>
              <w:spacing w:after="0"/>
            </w:pPr>
            <w:r>
              <w:rPr>
                <w:rFonts w:ascii="Calibri" w:cs="Calibri" w:eastAsia="Calibri" w:hAnsi="Calibri"/>
                <w:b/>
                <w:bCs/>
                <w:color w:val="FFFFFF"/>
                <w:sz w:val="20"/>
                <w:szCs w:val="20"/>
              </w:rPr>
              <w:t xml:space="preserve">Rating</w:t>
            </w:r>
          </w:p>
        </w:tc>
        <w:tc>
          <w:tcPr>
            <w:tcW w:type="dxa" w:w="5400"/>
            <w:tcBorders>
              <w:top w:val="single" w:color="BFBFBF" w:sz="4"/>
              <w:left w:val="single" w:color="BFBFBF" w:sz="4"/>
              <w:bottom w:val="single" w:color="BFBFBF" w:sz="4"/>
              <w:right w:val="single" w:color="BFBFBF" w:sz="4"/>
            </w:tcBorders>
            <w:shd w:fill="1F3864" w:color="auto" w:val="clear"/>
            <w:tcMar>
              <w:top w:type="dxa" w:w="60"/>
              <w:left w:type="dxa" w:w="120"/>
              <w:bottom w:type="dxa" w:w="60"/>
              <w:right w:type="dxa" w:w="120"/>
            </w:tcMar>
            <w:vAlign w:val="center"/>
          </w:tcPr>
          <w:p>
            <w:pPr>
              <w:spacing w:after="0"/>
            </w:pPr>
            <w:r>
              <w:rPr>
                <w:rFonts w:ascii="Calibri" w:cs="Calibri" w:eastAsia="Calibri" w:hAnsi="Calibri"/>
                <w:b/>
                <w:bCs/>
                <w:color w:val="FFFFFF"/>
                <w:sz w:val="20"/>
                <w:szCs w:val="20"/>
              </w:rPr>
              <w:t xml:space="preserve">Likelihood (how likely it is to happen)</w:t>
            </w:r>
          </w:p>
        </w:tc>
        <w:tc>
          <w:tcPr>
            <w:tcW w:type="dxa" w:w="7400"/>
            <w:tcBorders>
              <w:top w:val="single" w:color="BFBFBF" w:sz="4"/>
              <w:left w:val="single" w:color="BFBFBF" w:sz="4"/>
              <w:bottom w:val="single" w:color="BFBFBF" w:sz="4"/>
              <w:right w:val="single" w:color="BFBFBF" w:sz="4"/>
            </w:tcBorders>
            <w:shd w:fill="1F3864" w:color="auto" w:val="clear"/>
            <w:tcMar>
              <w:top w:type="dxa" w:w="60"/>
              <w:left w:type="dxa" w:w="120"/>
              <w:bottom w:type="dxa" w:w="60"/>
              <w:right w:type="dxa" w:w="120"/>
            </w:tcMar>
            <w:vAlign w:val="center"/>
          </w:tcPr>
          <w:p>
            <w:pPr>
              <w:spacing w:after="0"/>
            </w:pPr>
            <w:r>
              <w:rPr>
                <w:rFonts w:ascii="Calibri" w:cs="Calibri" w:eastAsia="Calibri" w:hAnsi="Calibri"/>
                <w:b/>
                <w:bCs/>
                <w:color w:val="FFFFFF"/>
                <w:sz w:val="20"/>
                <w:szCs w:val="20"/>
              </w:rPr>
              <w:t xml:space="preserve">Impact (how much it hurts the project)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Low = 1</w:t>
            </w:r>
          </w:p>
        </w:tc>
        <w:tc>
          <w:tcPr>
            <w:tcW w:type="dxa" w:w="5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Unlikely; may happen once at most</w:t>
            </w:r>
          </w:p>
        </w:tc>
        <w:tc>
          <w:tcPr>
            <w:tcW w:type="dxa" w:w="7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Small delay or small quality issue; easy to fix</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Medium = 2</w:t>
            </w:r>
          </w:p>
        </w:tc>
        <w:tc>
          <w:tcPr>
            <w:tcW w:type="dxa" w:w="5400"/>
            <w:tcBorders>
              <w:top w:val="single" w:color="BFBFBF" w:sz="4"/>
              <w:left w:val="single" w:color="BFBFBF" w:sz="4"/>
              <w:bottom w:val="single" w:color="BFBFBF" w:sz="4"/>
              <w:right w:val="single" w:color="BFBFBF" w:sz="4"/>
            </w:tcBorders>
            <w:shd w:fill="F7F9F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Possible during the project</w:t>
            </w:r>
          </w:p>
        </w:tc>
        <w:tc>
          <w:tcPr>
            <w:tcW w:type="dxa" w:w="7400"/>
            <w:tcBorders>
              <w:top w:val="single" w:color="BFBFBF" w:sz="4"/>
              <w:left w:val="single" w:color="BFBFBF" w:sz="4"/>
              <w:bottom w:val="single" w:color="BFBFBF" w:sz="4"/>
              <w:right w:val="single" w:color="BFBFBF" w:sz="4"/>
            </w:tcBorders>
            <w:shd w:fill="F7F9F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Delays a deliverable or reduces quality noticeably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High = 3</w:t>
            </w:r>
          </w:p>
        </w:tc>
        <w:tc>
          <w:tcPr>
            <w:tcW w:type="dxa" w:w="5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Very likely or already happening</w:t>
            </w:r>
          </w:p>
        </w:tc>
        <w:tc>
          <w:tcPr>
            <w:tcW w:type="dxa" w:w="7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Misses an official deadline or makes results wrong or unusable</w:t>
            </w:r>
          </w:p>
        </w:tc>
      </w:tr>
    </w:tbl>
    <w:p>
      <w:pPr>
        <w:spacing w:after="80"/>
      </w:pP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5000"/>
        <w:gridCol w:w="2400"/>
        <w:gridCol w:w="7400"/>
      </w:tblGrid>
      <w:tr>
        <w:trPr>
          <w:cantSplit/>
        </w:trPr>
        <w:tc>
          <w:tcPr>
            <w:tcW w:type="dxa" w:w="5000"/>
            <w:tcBorders>
              <w:top w:val="single" w:color="BFBFBF" w:sz="4"/>
              <w:left w:val="single" w:color="BFBFBF" w:sz="4"/>
              <w:bottom w:val="single" w:color="BFBFBF" w:sz="4"/>
              <w:right w:val="single" w:color="BFBFBF" w:sz="4"/>
            </w:tcBorders>
            <w:shd w:fill="1F3864" w:color="auto" w:val="clear"/>
            <w:tcMar>
              <w:top w:type="dxa" w:w="60"/>
              <w:left w:type="dxa" w:w="120"/>
              <w:bottom w:type="dxa" w:w="60"/>
              <w:right w:type="dxa" w:w="120"/>
            </w:tcMar>
            <w:vAlign w:val="center"/>
          </w:tcPr>
          <w:p>
            <w:pPr>
              <w:spacing w:after="0"/>
            </w:pPr>
            <w:r>
              <w:rPr>
                <w:rFonts w:ascii="Calibri" w:cs="Calibri" w:eastAsia="Calibri" w:hAnsi="Calibri"/>
                <w:b/>
                <w:bCs/>
                <w:color w:val="FFFFFF"/>
                <w:sz w:val="20"/>
                <w:szCs w:val="20"/>
              </w:rPr>
              <w:t xml:space="preserve">Risk score = Likelihood × Impact</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20"/>
              <w:bottom w:type="dxa" w:w="60"/>
              <w:right w:type="dxa" w:w="120"/>
            </w:tcMar>
            <w:vAlign w:val="center"/>
          </w:tcPr>
          <w:p>
            <w:pPr>
              <w:spacing w:after="0"/>
            </w:pPr>
            <w:r>
              <w:rPr>
                <w:rFonts w:ascii="Calibri" w:cs="Calibri" w:eastAsia="Calibri" w:hAnsi="Calibri"/>
                <w:b/>
                <w:bCs/>
                <w:color w:val="FFFFFF"/>
                <w:sz w:val="20"/>
                <w:szCs w:val="20"/>
              </w:rPr>
              <w:t xml:space="preserve">Level</w:t>
            </w:r>
          </w:p>
        </w:tc>
        <w:tc>
          <w:tcPr>
            <w:tcW w:type="dxa" w:w="7400"/>
            <w:tcBorders>
              <w:top w:val="single" w:color="BFBFBF" w:sz="4"/>
              <w:left w:val="single" w:color="BFBFBF" w:sz="4"/>
              <w:bottom w:val="single" w:color="BFBFBF" w:sz="4"/>
              <w:right w:val="single" w:color="BFBFBF" w:sz="4"/>
            </w:tcBorders>
            <w:shd w:fill="1F3864" w:color="auto" w:val="clear"/>
            <w:tcMar>
              <w:top w:type="dxa" w:w="60"/>
              <w:left w:type="dxa" w:w="120"/>
              <w:bottom w:type="dxa" w:w="60"/>
              <w:right w:type="dxa" w:w="120"/>
            </w:tcMar>
            <w:vAlign w:val="center"/>
          </w:tcPr>
          <w:p>
            <w:pPr>
              <w:spacing w:after="0"/>
            </w:pPr>
            <w:r>
              <w:rPr>
                <w:rFonts w:ascii="Calibri" w:cs="Calibri" w:eastAsia="Calibri" w:hAnsi="Calibri"/>
                <w:b/>
                <w:bCs/>
                <w:color w:val="FFFFFF"/>
                <w:sz w:val="20"/>
                <w:szCs w:val="20"/>
              </w:rPr>
              <w:t xml:space="preserve">What we do</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6 – 9</w:t>
            </w:r>
          </w:p>
        </w:tc>
        <w:tc>
          <w:tcPr>
            <w:tcW w:type="dxa" w:w="240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High</w:t>
            </w:r>
          </w:p>
        </w:tc>
        <w:tc>
          <w:tcPr>
            <w:tcW w:type="dxa" w:w="7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Mitigation starts now; reviewed every week</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3 – 4</w:t>
            </w:r>
          </w:p>
        </w:tc>
        <w:tc>
          <w:tcPr>
            <w:tcW w:type="dxa" w:w="240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Medium</w:t>
            </w:r>
          </w:p>
        </w:tc>
        <w:tc>
          <w:tcPr>
            <w:tcW w:type="dxa" w:w="7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Mitigation planned; reviewed every two weeks</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1 – 2</w:t>
            </w:r>
          </w:p>
        </w:tc>
        <w:tc>
          <w:tcPr>
            <w:tcW w:type="dxa" w:w="2400"/>
            <w:tcBorders>
              <w:top w:val="single" w:color="BFBFBF" w:sz="4"/>
              <w:left w:val="single" w:color="BFBFBF" w:sz="4"/>
              <w:bottom w:val="single" w:color="BFBFBF" w:sz="4"/>
              <w:right w:val="single" w:color="BFBFBF" w:sz="4"/>
            </w:tcBorders>
            <w:shd w:fill="C6E0B4"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Low</w:t>
            </w:r>
          </w:p>
        </w:tc>
        <w:tc>
          <w:tcPr>
            <w:tcW w:type="dxa" w:w="7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Monitor only</w:t>
            </w:r>
          </w:p>
        </w:tc>
      </w:tr>
    </w:tbl>
    <w:p>
      <w:pPr>
        <w:keepNext/>
        <w:pageBreakBefore/>
        <w:pBdr>
          <w:bottom w:val="single" w:color="2E75B6" w:sz="8" w:space="4"/>
        </w:pBdr>
        <w:spacing w:after="140" w:before="0"/>
      </w:pPr>
      <w:r>
        <w:rPr>
          <w:rFonts w:ascii="Calibri" w:cs="Calibri" w:eastAsia="Calibri" w:hAnsi="Calibri"/>
          <w:b/>
          <w:bCs/>
          <w:color w:val="2E75B6"/>
          <w:sz w:val="30"/>
          <w:szCs w:val="30"/>
        </w:rPr>
        <w:t xml:space="preserve">2  </w:t>
      </w:r>
      <w:r>
        <w:rPr>
          <w:rFonts w:ascii="Calibri" w:cs="Calibri" w:eastAsia="Calibri" w:hAnsi="Calibri"/>
          <w:b/>
          <w:bCs/>
          <w:color w:val="1F3864"/>
          <w:sz w:val="30"/>
          <w:szCs w:val="30"/>
        </w:rPr>
        <w:t xml:space="preserve">Risk Summary</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4800"/>
        <w:gridCol w:w="1400"/>
        <w:gridCol w:w="1400"/>
        <w:gridCol w:w="1400"/>
        <w:gridCol w:w="1400"/>
        <w:gridCol w:w="4400"/>
      </w:tblGrid>
      <w:tr>
        <w:trPr>
          <w:cantSplit/>
        </w:trPr>
        <w:tc>
          <w:tcPr>
            <w:tcW w:type="dxa" w:w="4800"/>
            <w:tcBorders>
              <w:top w:val="single" w:color="BFBFBF" w:sz="4"/>
              <w:left w:val="single" w:color="BFBFBF" w:sz="4"/>
              <w:bottom w:val="single" w:color="BFBFBF" w:sz="4"/>
              <w:right w:val="single" w:color="BFBFBF" w:sz="4"/>
            </w:tcBorders>
            <w:shd w:fill="1F3864" w:color="auto" w:val="clear"/>
            <w:tcMar>
              <w:top w:type="dxa" w:w="60"/>
              <w:left w:type="dxa" w:w="120"/>
              <w:bottom w:type="dxa" w:w="60"/>
              <w:right w:type="dxa" w:w="120"/>
            </w:tcMar>
            <w:vAlign w:val="center"/>
          </w:tcPr>
          <w:p>
            <w:pPr>
              <w:spacing w:after="0"/>
            </w:pPr>
            <w:r>
              <w:rPr>
                <w:rFonts w:ascii="Calibri" w:cs="Calibri" w:eastAsia="Calibri" w:hAnsi="Calibri"/>
                <w:b/>
                <w:bCs/>
                <w:color w:val="FFFFFF"/>
                <w:sz w:val="20"/>
                <w:szCs w:val="20"/>
              </w:rPr>
              <w:t xml:space="preserve">Category</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20"/>
              <w:bottom w:type="dxa" w:w="60"/>
              <w:right w:type="dxa" w:w="120"/>
            </w:tcMar>
            <w:vAlign w:val="center"/>
          </w:tcPr>
          <w:p>
            <w:pPr>
              <w:spacing w:after="0"/>
            </w:pPr>
            <w:r>
              <w:rPr>
                <w:rFonts w:ascii="Calibri" w:cs="Calibri" w:eastAsia="Calibri" w:hAnsi="Calibri"/>
                <w:b/>
                <w:bCs/>
                <w:color w:val="FFFFFF"/>
                <w:sz w:val="20"/>
                <w:szCs w:val="20"/>
              </w:rPr>
              <w:t xml:space="preserve">Risks</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20"/>
              <w:bottom w:type="dxa" w:w="60"/>
              <w:right w:type="dxa" w:w="120"/>
            </w:tcMar>
            <w:vAlign w:val="center"/>
          </w:tcPr>
          <w:p>
            <w:pPr>
              <w:spacing w:after="0"/>
            </w:pPr>
            <w:r>
              <w:rPr>
                <w:rFonts w:ascii="Calibri" w:cs="Calibri" w:eastAsia="Calibri" w:hAnsi="Calibri"/>
                <w:b/>
                <w:bCs/>
                <w:color w:val="FFFFFF"/>
                <w:sz w:val="20"/>
                <w:szCs w:val="20"/>
              </w:rPr>
              <w:t xml:space="preserve">High</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20"/>
              <w:bottom w:type="dxa" w:w="60"/>
              <w:right w:type="dxa" w:w="120"/>
            </w:tcMar>
            <w:vAlign w:val="center"/>
          </w:tcPr>
          <w:p>
            <w:pPr>
              <w:spacing w:after="0"/>
            </w:pPr>
            <w:r>
              <w:rPr>
                <w:rFonts w:ascii="Calibri" w:cs="Calibri" w:eastAsia="Calibri" w:hAnsi="Calibri"/>
                <w:b/>
                <w:bCs/>
                <w:color w:val="FFFFFF"/>
                <w:sz w:val="20"/>
                <w:szCs w:val="20"/>
              </w:rPr>
              <w:t xml:space="preserve">Medium</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20"/>
              <w:bottom w:type="dxa" w:w="60"/>
              <w:right w:type="dxa" w:w="120"/>
            </w:tcMar>
            <w:vAlign w:val="center"/>
          </w:tcPr>
          <w:p>
            <w:pPr>
              <w:spacing w:after="0"/>
            </w:pPr>
            <w:r>
              <w:rPr>
                <w:rFonts w:ascii="Calibri" w:cs="Calibri" w:eastAsia="Calibri" w:hAnsi="Calibri"/>
                <w:b/>
                <w:bCs/>
                <w:color w:val="FFFFFF"/>
                <w:sz w:val="20"/>
                <w:szCs w:val="20"/>
              </w:rPr>
              <w:t xml:space="preserve">Low</w:t>
            </w:r>
          </w:p>
        </w:tc>
        <w:tc>
          <w:tcPr>
            <w:tcW w:type="dxa" w:w="4400"/>
            <w:tcBorders>
              <w:top w:val="single" w:color="BFBFBF" w:sz="4"/>
              <w:left w:val="single" w:color="BFBFBF" w:sz="4"/>
              <w:bottom w:val="single" w:color="BFBFBF" w:sz="4"/>
              <w:right w:val="single" w:color="BFBFBF" w:sz="4"/>
            </w:tcBorders>
            <w:shd w:fill="1F3864" w:color="auto" w:val="clear"/>
            <w:tcMar>
              <w:top w:type="dxa" w:w="60"/>
              <w:left w:type="dxa" w:w="120"/>
              <w:bottom w:type="dxa" w:w="60"/>
              <w:right w:type="dxa" w:w="120"/>
            </w:tcMar>
            <w:vAlign w:val="center"/>
          </w:tcPr>
          <w:p>
            <w:pPr>
              <w:spacing w:after="0"/>
            </w:pPr>
            <w:r>
              <w:rPr>
                <w:rFonts w:ascii="Calibri" w:cs="Calibri" w:eastAsia="Calibri" w:hAnsi="Calibri"/>
                <w:b/>
                <w:bCs/>
                <w:color w:val="FFFFFF"/>
                <w:sz w:val="20"/>
                <w:szCs w:val="20"/>
              </w:rPr>
              <w:t xml:space="preserve"/>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Data &amp; Dataset</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11</w:t>
            </w:r>
          </w:p>
        </w:tc>
        <w:tc>
          <w:tcPr>
            <w:tcW w:type="dxa" w:w="140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5</w:t>
            </w:r>
          </w:p>
        </w:tc>
        <w:tc>
          <w:tcPr>
            <w:tcW w:type="dxa" w:w="140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5</w:t>
            </w:r>
          </w:p>
        </w:tc>
        <w:tc>
          <w:tcPr>
            <w:tcW w:type="dxa" w:w="1400"/>
            <w:tcBorders>
              <w:top w:val="single" w:color="BFBFBF" w:sz="4"/>
              <w:left w:val="single" w:color="BFBFBF" w:sz="4"/>
              <w:bottom w:val="single" w:color="BFBFBF" w:sz="4"/>
              <w:right w:val="single" w:color="BFBFBF" w:sz="4"/>
            </w:tcBorders>
            <w:shd w:fill="C6E0B4" w:color="auto" w:val="clear"/>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1</w:t>
            </w:r>
          </w:p>
        </w:tc>
        <w:tc>
          <w:tcPr>
            <w:tcW w:type="dxa" w:w="4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Analysis &amp; Interpretation</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8</w:t>
            </w:r>
          </w:p>
        </w:tc>
        <w:tc>
          <w:tcPr>
            <w:tcW w:type="dxa" w:w="140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5</w:t>
            </w:r>
          </w:p>
        </w:tc>
        <w:tc>
          <w:tcPr>
            <w:tcW w:type="dxa" w:w="140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3</w:t>
            </w:r>
          </w:p>
        </w:tc>
        <w:tc>
          <w:tcPr>
            <w:tcW w:type="dxa" w:w="1400"/>
            <w:tcBorders>
              <w:top w:val="single" w:color="BFBFBF" w:sz="4"/>
              <w:left w:val="single" w:color="BFBFBF" w:sz="4"/>
              <w:bottom w:val="single" w:color="BFBFBF" w:sz="4"/>
              <w:right w:val="single" w:color="BFBFBF" w:sz="4"/>
            </w:tcBorders>
            <w:shd w:fill="C6E0B4" w:color="auto" w:val="clear"/>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0</w:t>
            </w:r>
          </w:p>
        </w:tc>
        <w:tc>
          <w:tcPr>
            <w:tcW w:type="dxa" w:w="4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Tools &amp; Technical</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9</w:t>
            </w:r>
          </w:p>
        </w:tc>
        <w:tc>
          <w:tcPr>
            <w:tcW w:type="dxa" w:w="140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1</w:t>
            </w:r>
          </w:p>
        </w:tc>
        <w:tc>
          <w:tcPr>
            <w:tcW w:type="dxa" w:w="140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8</w:t>
            </w:r>
          </w:p>
        </w:tc>
        <w:tc>
          <w:tcPr>
            <w:tcW w:type="dxa" w:w="1400"/>
            <w:tcBorders>
              <w:top w:val="single" w:color="BFBFBF" w:sz="4"/>
              <w:left w:val="single" w:color="BFBFBF" w:sz="4"/>
              <w:bottom w:val="single" w:color="BFBFBF" w:sz="4"/>
              <w:right w:val="single" w:color="BFBFBF" w:sz="4"/>
            </w:tcBorders>
            <w:shd w:fill="C6E0B4" w:color="auto" w:val="clear"/>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0</w:t>
            </w:r>
          </w:p>
        </w:tc>
        <w:tc>
          <w:tcPr>
            <w:tcW w:type="dxa" w:w="4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Team &amp; Management</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6</w:t>
            </w:r>
          </w:p>
        </w:tc>
        <w:tc>
          <w:tcPr>
            <w:tcW w:type="dxa" w:w="140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2</w:t>
            </w:r>
          </w:p>
        </w:tc>
        <w:tc>
          <w:tcPr>
            <w:tcW w:type="dxa" w:w="140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3</w:t>
            </w:r>
          </w:p>
        </w:tc>
        <w:tc>
          <w:tcPr>
            <w:tcW w:type="dxa" w:w="1400"/>
            <w:tcBorders>
              <w:top w:val="single" w:color="BFBFBF" w:sz="4"/>
              <w:left w:val="single" w:color="BFBFBF" w:sz="4"/>
              <w:bottom w:val="single" w:color="BFBFBF" w:sz="4"/>
              <w:right w:val="single" w:color="BFBFBF" w:sz="4"/>
            </w:tcBorders>
            <w:shd w:fill="C6E0B4" w:color="auto" w:val="clear"/>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1</w:t>
            </w:r>
          </w:p>
        </w:tc>
        <w:tc>
          <w:tcPr>
            <w:tcW w:type="dxa" w:w="4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Schedule &amp; Scope</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8</w:t>
            </w:r>
          </w:p>
        </w:tc>
        <w:tc>
          <w:tcPr>
            <w:tcW w:type="dxa" w:w="140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5</w:t>
            </w:r>
          </w:p>
        </w:tc>
        <w:tc>
          <w:tcPr>
            <w:tcW w:type="dxa" w:w="140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3</w:t>
            </w:r>
          </w:p>
        </w:tc>
        <w:tc>
          <w:tcPr>
            <w:tcW w:type="dxa" w:w="1400"/>
            <w:tcBorders>
              <w:top w:val="single" w:color="BFBFBF" w:sz="4"/>
              <w:left w:val="single" w:color="BFBFBF" w:sz="4"/>
              <w:bottom w:val="single" w:color="BFBFBF" w:sz="4"/>
              <w:right w:val="single" w:color="BFBFBF" w:sz="4"/>
            </w:tcBorders>
            <w:shd w:fill="C6E0B4" w:color="auto" w:val="clear"/>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0</w:t>
            </w:r>
          </w:p>
        </w:tc>
        <w:tc>
          <w:tcPr>
            <w:tcW w:type="dxa" w:w="4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Documentation &amp; Delivery</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7</w:t>
            </w:r>
          </w:p>
        </w:tc>
        <w:tc>
          <w:tcPr>
            <w:tcW w:type="dxa" w:w="140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3</w:t>
            </w:r>
          </w:p>
        </w:tc>
        <w:tc>
          <w:tcPr>
            <w:tcW w:type="dxa" w:w="140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4</w:t>
            </w:r>
          </w:p>
        </w:tc>
        <w:tc>
          <w:tcPr>
            <w:tcW w:type="dxa" w:w="1400"/>
            <w:tcBorders>
              <w:top w:val="single" w:color="BFBFBF" w:sz="4"/>
              <w:left w:val="single" w:color="BFBFBF" w:sz="4"/>
              <w:bottom w:val="single" w:color="BFBFBF" w:sz="4"/>
              <w:right w:val="single" w:color="BFBFBF" w:sz="4"/>
            </w:tcBorders>
            <w:shd w:fill="C6E0B4" w:color="auto" w:val="clear"/>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0</w:t>
            </w:r>
          </w:p>
        </w:tc>
        <w:tc>
          <w:tcPr>
            <w:tcW w:type="dxa" w:w="4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4800"/>
            <w:tcBorders>
              <w:top w:val="single" w:color="BFBFBF" w:sz="4"/>
              <w:left w:val="single" w:color="BFBFBF" w:sz="4"/>
              <w:bottom w:val="single" w:color="BFBFBF" w:sz="4"/>
              <w:right w:val="single" w:color="BFBFBF" w:sz="4"/>
            </w:tcBorders>
            <w:shd w:fill="EAF1FB" w:color="auto" w:val="clear"/>
            <w:tcMar>
              <w:top w:type="dxa" w:w="60"/>
              <w:left w:type="dxa" w:w="120"/>
              <w:bottom w:type="dxa" w:w="60"/>
              <w:right w:type="dxa" w:w="120"/>
            </w:tcMar>
            <w:vAlign w:val="center"/>
          </w:tcPr>
          <w:p>
            <w:pPr>
              <w:spacing w:after="0"/>
            </w:pPr>
            <w:r>
              <w:rPr>
                <w:rFonts w:ascii="Calibri" w:cs="Calibri" w:eastAsia="Calibri" w:hAnsi="Calibri"/>
                <w:b/>
                <w:bCs/>
                <w:color w:val="262626"/>
                <w:sz w:val="20"/>
                <w:szCs w:val="20"/>
              </w:rPr>
              <w:t xml:space="preserve">Total</w:t>
            </w:r>
          </w:p>
        </w:tc>
        <w:tc>
          <w:tcPr>
            <w:tcW w:type="dxa" w:w="1400"/>
            <w:tcBorders>
              <w:top w:val="single" w:color="BFBFBF" w:sz="4"/>
              <w:left w:val="single" w:color="BFBFBF" w:sz="4"/>
              <w:bottom w:val="single" w:color="BFBFBF" w:sz="4"/>
              <w:right w:val="single" w:color="BFBFBF" w:sz="4"/>
            </w:tcBorders>
            <w:shd w:fill="EAF1FB"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49</w:t>
            </w:r>
          </w:p>
        </w:tc>
        <w:tc>
          <w:tcPr>
            <w:tcW w:type="dxa" w:w="1400"/>
            <w:tcBorders>
              <w:top w:val="single" w:color="BFBFBF" w:sz="4"/>
              <w:left w:val="single" w:color="BFBFBF" w:sz="4"/>
              <w:bottom w:val="single" w:color="BFBFBF" w:sz="4"/>
              <w:right w:val="single" w:color="BFBFBF" w:sz="4"/>
            </w:tcBorders>
            <w:shd w:fill="EAF1FB"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21</w:t>
            </w:r>
          </w:p>
        </w:tc>
        <w:tc>
          <w:tcPr>
            <w:tcW w:type="dxa" w:w="1400"/>
            <w:tcBorders>
              <w:top w:val="single" w:color="BFBFBF" w:sz="4"/>
              <w:left w:val="single" w:color="BFBFBF" w:sz="4"/>
              <w:bottom w:val="single" w:color="BFBFBF" w:sz="4"/>
              <w:right w:val="single" w:color="BFBFBF" w:sz="4"/>
            </w:tcBorders>
            <w:shd w:fill="EAF1FB"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26</w:t>
            </w:r>
          </w:p>
        </w:tc>
        <w:tc>
          <w:tcPr>
            <w:tcW w:type="dxa" w:w="1400"/>
            <w:tcBorders>
              <w:top w:val="single" w:color="BFBFBF" w:sz="4"/>
              <w:left w:val="single" w:color="BFBFBF" w:sz="4"/>
              <w:bottom w:val="single" w:color="BFBFBF" w:sz="4"/>
              <w:right w:val="single" w:color="BFBFBF" w:sz="4"/>
            </w:tcBorders>
            <w:shd w:fill="EAF1FB"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2</w:t>
            </w:r>
          </w:p>
        </w:tc>
        <w:tc>
          <w:tcPr>
            <w:tcW w:type="dxa" w:w="440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bl>
    <w:p>
      <w:pPr>
        <w:keepNext/>
        <w:spacing w:after="100" w:before="200"/>
      </w:pPr>
      <w:r>
        <w:rPr>
          <w:rFonts w:ascii="Calibri" w:cs="Calibri" w:eastAsia="Calibri" w:hAnsi="Calibri"/>
          <w:b/>
          <w:bCs/>
          <w:color w:val="2E75B6"/>
          <w:sz w:val="24"/>
          <w:szCs w:val="24"/>
        </w:rPr>
        <w:t xml:space="preserve">2.1  Using the register</w:t>
      </w:r>
    </w:p>
    <w:p>
      <w:pPr>
        <w:pStyle w:val="ListParagraph"/>
        <w:numPr>
          <w:ilvl w:val="0"/>
          <w:numId w:val="2"/>
        </w:numPr>
        <w:spacing w:after="60" w:line="280"/>
      </w:pPr>
      <w:r>
        <w:rPr>
          <w:rFonts w:ascii="Calibri" w:cs="Calibri" w:eastAsia="Calibri" w:hAnsi="Calibri"/>
          <w:b/>
          <w:bCs/>
          <w:color w:val="262626"/>
          <w:sz w:val="21"/>
          <w:szCs w:val="21"/>
        </w:rPr>
        <w:t xml:space="preserve">Weekly: </w:t>
      </w:r>
      <w:r>
        <w:rPr>
          <w:rFonts w:ascii="Calibri" w:cs="Calibri" w:eastAsia="Calibri" w:hAnsi="Calibri"/>
          <w:color w:val="262626"/>
          <w:sz w:val="21"/>
          <w:szCs w:val="21"/>
        </w:rPr>
        <w:t xml:space="preserve">Review the High risks in the weekly team meeting and update their status.</w:t>
      </w:r>
    </w:p>
    <w:p>
      <w:pPr>
        <w:pStyle w:val="ListParagraph"/>
        <w:numPr>
          <w:ilvl w:val="0"/>
          <w:numId w:val="2"/>
        </w:numPr>
        <w:spacing w:after="60" w:line="280"/>
      </w:pPr>
      <w:r>
        <w:rPr>
          <w:rFonts w:ascii="Calibri" w:cs="Calibri" w:eastAsia="Calibri" w:hAnsi="Calibri"/>
          <w:b/>
          <w:bCs/>
          <w:color w:val="262626"/>
          <w:sz w:val="21"/>
          <w:szCs w:val="21"/>
        </w:rPr>
        <w:t xml:space="preserve">Owners: </w:t>
      </w:r>
      <w:r>
        <w:rPr>
          <w:rFonts w:ascii="Calibri" w:cs="Calibri" w:eastAsia="Calibri" w:hAnsi="Calibri"/>
          <w:color w:val="262626"/>
          <w:sz w:val="21"/>
          <w:szCs w:val="21"/>
        </w:rPr>
        <w:t xml:space="preserve">Write a name in the yellow Owner column for each High and Medium risk once roles are agreed.</w:t>
      </w:r>
    </w:p>
    <w:p>
      <w:pPr>
        <w:pStyle w:val="ListParagraph"/>
        <w:numPr>
          <w:ilvl w:val="0"/>
          <w:numId w:val="2"/>
        </w:numPr>
        <w:spacing w:after="60" w:line="280"/>
      </w:pPr>
      <w:r>
        <w:rPr>
          <w:rFonts w:ascii="Calibri" w:cs="Calibri" w:eastAsia="Calibri" w:hAnsi="Calibri"/>
          <w:b/>
          <w:bCs/>
          <w:color w:val="262626"/>
          <w:sz w:val="21"/>
          <w:szCs w:val="21"/>
        </w:rPr>
        <w:t xml:space="preserve">New risks: </w:t>
      </w:r>
      <w:r>
        <w:rPr>
          <w:rFonts w:ascii="Calibri" w:cs="Calibri" w:eastAsia="Calibri" w:hAnsi="Calibri"/>
          <w:color w:val="262626"/>
          <w:sz w:val="21"/>
          <w:szCs w:val="21"/>
        </w:rPr>
        <w:t xml:space="preserve">If a new risk appears, add a row, rate it with the same scale and tell the team.</w:t>
      </w:r>
    </w:p>
    <w:p>
      <w:pPr>
        <w:keepNext/>
        <w:pBdr>
          <w:bottom w:val="single" w:color="2E75B6" w:sz="8" w:space="4"/>
        </w:pBdr>
        <w:spacing w:after="140" w:before="300"/>
      </w:pPr>
      <w:r>
        <w:rPr>
          <w:rFonts w:ascii="Calibri" w:cs="Calibri" w:eastAsia="Calibri" w:hAnsi="Calibri"/>
          <w:b/>
          <w:bCs/>
          <w:color w:val="2E75B6"/>
          <w:sz w:val="30"/>
          <w:szCs w:val="30"/>
        </w:rPr>
        <w:t xml:space="preserve">3  </w:t>
      </w:r>
      <w:r>
        <w:rPr>
          <w:rFonts w:ascii="Calibri" w:cs="Calibri" w:eastAsia="Calibri" w:hAnsi="Calibri"/>
          <w:b/>
          <w:bCs/>
          <w:color w:val="1F3864"/>
          <w:sz w:val="30"/>
          <w:szCs w:val="30"/>
        </w:rPr>
        <w:t xml:space="preserve">Risk Register</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650"/>
        <w:gridCol w:w="3550"/>
        <w:gridCol w:w="1150"/>
        <w:gridCol w:w="1000"/>
        <w:gridCol w:w="1150"/>
        <w:gridCol w:w="3500"/>
        <w:gridCol w:w="2900"/>
        <w:gridCol w:w="900"/>
      </w:tblGrid>
      <w:tr>
        <w:trPr>
          <w:cantSplit/>
          <w:tblHeader/>
        </w:trPr>
        <w:tc>
          <w:tcPr>
            <w:tcW w:type="dxa" w:w="650"/>
            <w:tcBorders>
              <w:top w:val="single" w:color="BFBFBF" w:sz="4"/>
              <w:left w:val="single" w:color="BFBFBF" w:sz="4"/>
              <w:bottom w:val="single" w:color="BFBFBF" w:sz="4"/>
              <w:right w:val="single" w:color="BFBFBF" w:sz="4"/>
            </w:tcBorders>
            <w:shd w:fill="1F3864" w:color="auto" w:val="clear"/>
            <w:tcMar>
              <w:top w:type="dxa" w:w="60"/>
              <w:left w:type="dxa" w:w="120"/>
              <w:bottom w:type="dxa" w:w="60"/>
              <w:right w:type="dxa" w:w="120"/>
            </w:tcMar>
            <w:vAlign w:val="center"/>
          </w:tcPr>
          <w:p>
            <w:pPr>
              <w:spacing w:after="0"/>
            </w:pPr>
            <w:r>
              <w:rPr>
                <w:rFonts w:ascii="Calibri" w:cs="Calibri" w:eastAsia="Calibri" w:hAnsi="Calibri"/>
                <w:b/>
                <w:bCs/>
                <w:color w:val="FFFFFF"/>
                <w:sz w:val="20"/>
                <w:szCs w:val="20"/>
              </w:rPr>
              <w:t xml:space="preserve">ID</w:t>
            </w:r>
          </w:p>
        </w:tc>
        <w:tc>
          <w:tcPr>
            <w:tcW w:type="dxa" w:w="3550"/>
            <w:tcBorders>
              <w:top w:val="single" w:color="BFBFBF" w:sz="4"/>
              <w:left w:val="single" w:color="BFBFBF" w:sz="4"/>
              <w:bottom w:val="single" w:color="BFBFBF" w:sz="4"/>
              <w:right w:val="single" w:color="BFBFBF" w:sz="4"/>
            </w:tcBorders>
            <w:shd w:fill="1F3864" w:color="auto" w:val="clear"/>
            <w:tcMar>
              <w:top w:type="dxa" w:w="60"/>
              <w:left w:type="dxa" w:w="120"/>
              <w:bottom w:type="dxa" w:w="60"/>
              <w:right w:type="dxa" w:w="120"/>
            </w:tcMar>
            <w:vAlign w:val="center"/>
          </w:tcPr>
          <w:p>
            <w:pPr>
              <w:spacing w:after="0"/>
            </w:pPr>
            <w:r>
              <w:rPr>
                <w:rFonts w:ascii="Calibri" w:cs="Calibri" w:eastAsia="Calibri" w:hAnsi="Calibri"/>
                <w:b/>
                <w:bCs/>
                <w:color w:val="FFFFFF"/>
                <w:sz w:val="20"/>
                <w:szCs w:val="20"/>
              </w:rPr>
              <w:t xml:space="preserve">Risk</w:t>
            </w:r>
          </w:p>
        </w:tc>
        <w:tc>
          <w:tcPr>
            <w:tcW w:type="dxa" w:w="1150"/>
            <w:tcBorders>
              <w:top w:val="single" w:color="BFBFBF" w:sz="4"/>
              <w:left w:val="single" w:color="BFBFBF" w:sz="4"/>
              <w:bottom w:val="single" w:color="BFBFBF" w:sz="4"/>
              <w:right w:val="single" w:color="BFBFBF" w:sz="4"/>
            </w:tcBorders>
            <w:shd w:fill="1F3864" w:color="auto" w:val="clear"/>
            <w:tcMar>
              <w:top w:type="dxa" w:w="60"/>
              <w:left w:type="dxa" w:w="120"/>
              <w:bottom w:type="dxa" w:w="60"/>
              <w:right w:type="dxa" w:w="120"/>
            </w:tcMar>
            <w:vAlign w:val="center"/>
          </w:tcPr>
          <w:p>
            <w:pPr>
              <w:spacing w:after="0"/>
            </w:pPr>
            <w:r>
              <w:rPr>
                <w:rFonts w:ascii="Calibri" w:cs="Calibri" w:eastAsia="Calibri" w:hAnsi="Calibri"/>
                <w:b/>
                <w:bCs/>
                <w:color w:val="FFFFFF"/>
                <w:sz w:val="20"/>
                <w:szCs w:val="20"/>
              </w:rPr>
              <w:t xml:space="preserve">Likelihood</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20"/>
              <w:bottom w:type="dxa" w:w="60"/>
              <w:right w:type="dxa" w:w="120"/>
            </w:tcMar>
            <w:vAlign w:val="center"/>
          </w:tcPr>
          <w:p>
            <w:pPr>
              <w:spacing w:after="0"/>
            </w:pPr>
            <w:r>
              <w:rPr>
                <w:rFonts w:ascii="Calibri" w:cs="Calibri" w:eastAsia="Calibri" w:hAnsi="Calibri"/>
                <w:b/>
                <w:bCs/>
                <w:color w:val="FFFFFF"/>
                <w:sz w:val="20"/>
                <w:szCs w:val="20"/>
              </w:rPr>
              <w:t xml:space="preserve">Impact</w:t>
            </w:r>
          </w:p>
        </w:tc>
        <w:tc>
          <w:tcPr>
            <w:tcW w:type="dxa" w:w="1150"/>
            <w:tcBorders>
              <w:top w:val="single" w:color="BFBFBF" w:sz="4"/>
              <w:left w:val="single" w:color="BFBFBF" w:sz="4"/>
              <w:bottom w:val="single" w:color="BFBFBF" w:sz="4"/>
              <w:right w:val="single" w:color="BFBFBF" w:sz="4"/>
            </w:tcBorders>
            <w:shd w:fill="1F3864" w:color="auto" w:val="clear"/>
            <w:tcMar>
              <w:top w:type="dxa" w:w="60"/>
              <w:left w:type="dxa" w:w="120"/>
              <w:bottom w:type="dxa" w:w="60"/>
              <w:right w:type="dxa" w:w="120"/>
            </w:tcMar>
            <w:vAlign w:val="center"/>
          </w:tcPr>
          <w:p>
            <w:pPr>
              <w:spacing w:after="0"/>
            </w:pPr>
            <w:r>
              <w:rPr>
                <w:rFonts w:ascii="Calibri" w:cs="Calibri" w:eastAsia="Calibri" w:hAnsi="Calibri"/>
                <w:b/>
                <w:bCs/>
                <w:color w:val="FFFFFF"/>
                <w:sz w:val="20"/>
                <w:szCs w:val="20"/>
              </w:rPr>
              <w:t xml:space="preserve">Score / Level</w:t>
            </w:r>
          </w:p>
        </w:tc>
        <w:tc>
          <w:tcPr>
            <w:tcW w:type="dxa" w:w="3500"/>
            <w:tcBorders>
              <w:top w:val="single" w:color="BFBFBF" w:sz="4"/>
              <w:left w:val="single" w:color="BFBFBF" w:sz="4"/>
              <w:bottom w:val="single" w:color="BFBFBF" w:sz="4"/>
              <w:right w:val="single" w:color="BFBFBF" w:sz="4"/>
            </w:tcBorders>
            <w:shd w:fill="1F3864" w:color="auto" w:val="clear"/>
            <w:tcMar>
              <w:top w:type="dxa" w:w="60"/>
              <w:left w:type="dxa" w:w="120"/>
              <w:bottom w:type="dxa" w:w="60"/>
              <w:right w:type="dxa" w:w="120"/>
            </w:tcMar>
            <w:vAlign w:val="center"/>
          </w:tcPr>
          <w:p>
            <w:pPr>
              <w:spacing w:after="0"/>
            </w:pPr>
            <w:r>
              <w:rPr>
                <w:rFonts w:ascii="Calibri" w:cs="Calibri" w:eastAsia="Calibri" w:hAnsi="Calibri"/>
                <w:b/>
                <w:bCs/>
                <w:color w:val="FFFFFF"/>
                <w:sz w:val="20"/>
                <w:szCs w:val="20"/>
              </w:rPr>
              <w:t xml:space="preserve">Mitigation (how we prevent it)</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120"/>
              <w:bottom w:type="dxa" w:w="60"/>
              <w:right w:type="dxa" w:w="120"/>
            </w:tcMar>
            <w:vAlign w:val="center"/>
          </w:tcPr>
          <w:p>
            <w:pPr>
              <w:spacing w:after="0"/>
            </w:pPr>
            <w:r>
              <w:rPr>
                <w:rFonts w:ascii="Calibri" w:cs="Calibri" w:eastAsia="Calibri" w:hAnsi="Calibri"/>
                <w:b/>
                <w:bCs/>
                <w:color w:val="FFFFFF"/>
                <w:sz w:val="20"/>
                <w:szCs w:val="20"/>
              </w:rPr>
              <w:t xml:space="preserve">Contingency (if it happens)</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20"/>
              <w:bottom w:type="dxa" w:w="60"/>
              <w:right w:type="dxa" w:w="120"/>
            </w:tcMar>
            <w:vAlign w:val="center"/>
          </w:tcPr>
          <w:p>
            <w:pPr>
              <w:spacing w:after="0"/>
            </w:pPr>
            <w:r>
              <w:rPr>
                <w:rFonts w:ascii="Calibri" w:cs="Calibri" w:eastAsia="Calibri" w:hAnsi="Calibri"/>
                <w:b/>
                <w:bCs/>
                <w:color w:val="FFFFFF"/>
                <w:sz w:val="20"/>
                <w:szCs w:val="20"/>
              </w:rPr>
              <w:t xml:space="preserve">Owner</w:t>
            </w:r>
          </w:p>
        </w:tc>
      </w:tr>
      <w:tr>
        <w:trPr>
          <w:cantSplit/>
        </w:trPr>
        <w:tc>
          <w:tcPr>
            <w:tcW w:type="dxa" w:w="14800"/>
            <w:gridSpan w:val="8"/>
            <w:tcBorders>
              <w:top w:val="single" w:color="BFBFBF" w:sz="4"/>
              <w:left w:val="single" w:color="BFBFBF" w:sz="4"/>
              <w:bottom w:val="single" w:color="BFBFBF" w:sz="4"/>
              <w:right w:val="single" w:color="BFBFBF" w:sz="4"/>
            </w:tcBorders>
            <w:shd w:fill="EAF1FB" w:color="auto" w:val="clear"/>
            <w:tcMar>
              <w:top w:type="dxa" w:w="60"/>
              <w:left w:type="dxa" w:w="120"/>
              <w:bottom w:type="dxa" w:w="60"/>
              <w:right w:type="dxa" w:w="120"/>
            </w:tcMar>
            <w:vAlign w:val="center"/>
          </w:tcPr>
          <w:p>
            <w:pPr>
              <w:keepNext/>
              <w:spacing w:after="0"/>
            </w:pPr>
            <w:r>
              <w:rPr>
                <w:rFonts w:ascii="Calibri" w:cs="Calibri" w:eastAsia="Calibri" w:hAnsi="Calibri"/>
                <w:b/>
                <w:bCs/>
                <w:color w:val="1F3864"/>
                <w:sz w:val="22"/>
                <w:szCs w:val="22"/>
              </w:rPr>
              <w:t xml:space="preserve">Data &amp; Dataset</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D1</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Missing or inconsistent values in key fields (date, location, deaths, type of violence)</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High</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15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6 – High</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Profile the data first; write cleaning rules and document every change</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Exclude or impute with a stated method and list it in the limitations</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D2</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Imprecise location: some events are only located at region or country level, not at an exact point</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High</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15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6 – High</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Use the geographic-precision column; draw point maps only for precise events</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Aggregate to country/region level and state the limitation</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D3</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Imprecise dates: some events cover a date range instead of one day</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15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4 – Medium</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Agree on one rule (e.g., start date) and document it; do seasonality at month level</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Aggregate by month or year</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D4</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Death figures are estimates (low / best / high), not exact counts</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High</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High</w:t>
            </w:r>
          </w:p>
        </w:tc>
        <w:tc>
          <w:tcPr>
            <w:tcW w:type="dxa" w:w="115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9 – High</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Use the best estimate as the main value; show the low–high range where it matters; label as estimates</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Add a disclaimer and run a check with low and high values</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D5</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Country names or borders change over time, so country comparisons become inconsistent</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15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4 – Medium</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Compare by region for long periods; document country naming rules</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Build a country-mapping table</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D6</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Actor or conflict names are spelled differently or change across years</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15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4 – Medium</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Use conflict/actor IDs together with names; build a standard name list</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Manual mapping table</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D7</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Wrong or different dataset version used (new download gives different numbers)</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High</w:t>
            </w:r>
          </w:p>
        </w:tc>
        <w:tc>
          <w:tcPr>
            <w:tcW w:type="dxa" w:w="115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6 – High</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Fix the version (e.g., 26.1) in the README; keep the raw file untouched</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Re-run the full pipeline on the agreed version</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D8</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Dataset is large and slow in Excel / Power BI</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15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4 – Medium</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Process in Python/SQL; load only needed columns or aggregated tables</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Work on a sample while developing</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D9</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Data website unavailable or file lost</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Low</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High</w:t>
            </w:r>
          </w:p>
        </w:tc>
        <w:tc>
          <w:tcPr>
            <w:tcW w:type="dxa" w:w="115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3 – Medium</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Download early (by 9 Oct) and keep a backup copy for the team</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Use a team member's backup copy</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D10</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Source coverage differs by region and period (some places are less documented)</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High</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High</w:t>
            </w:r>
          </w:p>
        </w:tc>
        <w:tc>
          <w:tcPr>
            <w:tcW w:type="dxa" w:w="115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9 – High</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State this clearly; never read a low event count as 'peace'</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Add a caveat next to every region/period comparison</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D11</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Encoding or data-type problems when loading (dates as text, special characters)</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Low</w:t>
            </w:r>
          </w:p>
        </w:tc>
        <w:tc>
          <w:tcPr>
            <w:tcW w:type="dxa" w:w="1150"/>
            <w:tcBorders>
              <w:top w:val="single" w:color="BFBFBF" w:sz="4"/>
              <w:left w:val="single" w:color="BFBFBF" w:sz="4"/>
              <w:bottom w:val="single" w:color="BFBFBF" w:sz="4"/>
              <w:right w:val="single" w:color="BFBFBF" w:sz="4"/>
            </w:tcBorders>
            <w:shd w:fill="C6E0B4"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2 – Low</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Set data types and UTF-8 when loading</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Fix in the cleaning script</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14800"/>
            <w:gridSpan w:val="8"/>
            <w:tcBorders>
              <w:top w:val="single" w:color="BFBFBF" w:sz="4"/>
              <w:left w:val="single" w:color="BFBFBF" w:sz="4"/>
              <w:bottom w:val="single" w:color="BFBFBF" w:sz="4"/>
              <w:right w:val="single" w:color="BFBFBF" w:sz="4"/>
            </w:tcBorders>
            <w:shd w:fill="EAF1FB" w:color="auto" w:val="clear"/>
            <w:tcMar>
              <w:top w:type="dxa" w:w="60"/>
              <w:left w:type="dxa" w:w="120"/>
              <w:bottom w:type="dxa" w:w="60"/>
              <w:right w:type="dxa" w:w="120"/>
            </w:tcMar>
            <w:vAlign w:val="center"/>
          </w:tcPr>
          <w:p>
            <w:pPr>
              <w:keepNext/>
              <w:spacing w:after="0"/>
            </w:pPr>
            <w:r>
              <w:rPr>
                <w:rFonts w:ascii="Calibri" w:cs="Calibri" w:eastAsia="Calibri" w:hAnsi="Calibri"/>
                <w:b/>
                <w:bCs/>
                <w:color w:val="1F3864"/>
                <w:sz w:val="22"/>
                <w:szCs w:val="22"/>
              </w:rPr>
              <w:t xml:space="preserve">Analysis &amp; Interpretation</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A1</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Treating the number of events as intensity (many small events vs few deadly ones)</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High</w:t>
            </w:r>
          </w:p>
        </w:tc>
        <w:tc>
          <w:tcPr>
            <w:tcW w:type="dxa" w:w="115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6 – High</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Always show events and deaths side by side</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Add a deaths-per-event view</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A2</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Drawing causes or political conclusions that the data cannot support</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High</w:t>
            </w:r>
          </w:p>
        </w:tc>
        <w:tc>
          <w:tcPr>
            <w:tcW w:type="dxa" w:w="115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6 – High</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Stay descriptive (as in the Scope); peer-review the wording of insights</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Rewrite the insight neutrally</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A3</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Apparent trends caused by changes in reporting or coverage over the years</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High</w:t>
            </w:r>
          </w:p>
        </w:tc>
        <w:tc>
          <w:tcPr>
            <w:tcW w:type="dxa" w:w="115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6 – High</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Mention coverage changes; compare periods carefully</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Add a caveat to trend charts</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A4</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Outliers (very large events or conflicts) distort averages and charts</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High</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15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6 – High</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Use medians and log scales; show results with and without outliers</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Present outliers separately</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A5</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Team members use different definitions (civilian deaths, conflict duration, region)</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15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4 – Medium</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Write a Data Dictionary from the official codebook and agree on it early</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Align definitions and recompute</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A6</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Calculation or DAX measure errors</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High</w:t>
            </w:r>
          </w:p>
        </w:tc>
        <w:tc>
          <w:tcPr>
            <w:tcW w:type="dxa" w:w="115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6 – High</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Cross-check totals between Python, SQL, Power BI and Tableau; peer review</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Fix, re-publish and re-check</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A7</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Misleading maps (hotspots just reflect large countries or dense points)</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15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4 – Medium</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Use density/aggregated maps and explain how to read them</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Replace with a clearer view</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A8</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Sensitive topic: wording or visuals may look insensitive or political</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15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4 – Medium</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Use neutral wording, no graphic imagery, respect for victims</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Team review before submission</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14800"/>
            <w:gridSpan w:val="8"/>
            <w:tcBorders>
              <w:top w:val="single" w:color="BFBFBF" w:sz="4"/>
              <w:left w:val="single" w:color="BFBFBF" w:sz="4"/>
              <w:bottom w:val="single" w:color="BFBFBF" w:sz="4"/>
              <w:right w:val="single" w:color="BFBFBF" w:sz="4"/>
            </w:tcBorders>
            <w:shd w:fill="EAF1FB" w:color="auto" w:val="clear"/>
            <w:tcMar>
              <w:top w:type="dxa" w:w="60"/>
              <w:left w:type="dxa" w:w="120"/>
              <w:bottom w:type="dxa" w:w="60"/>
              <w:right w:type="dxa" w:w="120"/>
            </w:tcMar>
            <w:vAlign w:val="center"/>
          </w:tcPr>
          <w:p>
            <w:pPr>
              <w:keepNext/>
              <w:spacing w:after="0"/>
            </w:pPr>
            <w:r>
              <w:rPr>
                <w:rFonts w:ascii="Calibri" w:cs="Calibri" w:eastAsia="Calibri" w:hAnsi="Calibri"/>
                <w:b/>
                <w:bCs/>
                <w:color w:val="1F3864"/>
                <w:sz w:val="22"/>
                <w:szCs w:val="22"/>
              </w:rPr>
              <w:t xml:space="preserve">Tools &amp; Technical</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T1</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 dashboard works on one PC but breaks on another (file paths, missing data, versions)</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High</w:t>
            </w:r>
          </w:p>
        </w:tc>
        <w:tc>
          <w:tcPr>
            <w:tcW w:type="dxa" w:w="115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6 – High</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Use a shared data folder or embedded extract; test on a second PC</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Re-package the file with its data</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T2</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Power BI Desktop is not available to a member (it runs on Windows)</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15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4 – Medium</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Check everyone's device in week 1; give Power BI to a Windows user</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Pair with another member</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T3</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Tableau license or access problem</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15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4 – Medium</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Confirm access in week 1 (student license or Tableau Public)</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Switch tool or reassign the task</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T4</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Large files cannot be uploaded to GitHub (file size limit)</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15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4 – Medium</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Use Git LFS or store big files elsewhere and link them in the README</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Upload a Drive link instead</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T5</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Different Python versions or libraries across the team break the code</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15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4 – Medium</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Share a requirements file and the Python version in the README</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Fix the environment together</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T6</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Lost or overwritten work (no backup)</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Low</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High</w:t>
            </w:r>
          </w:p>
        </w:tc>
        <w:tc>
          <w:tcPr>
            <w:tcW w:type="dxa" w:w="115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3 – Medium</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Commit to GitHub at least weekly and keep a cloud backup</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Restore from GitHub history</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T7</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Messy repository or merge conflicts</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15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4 – Medium</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Simple branching strategy; pull before push; folder structure in the README</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Team lead resolves conflicts</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T8</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Slow dashboards (too many visuals or heavy data)</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15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4 – Medium</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Aggregate data, limit visuals per page, use extracts</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Simplify the pages</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T9</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Internet or power outage close to a deadline</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15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4 – Medium</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Finish documents days before the deadline; keep offline copies</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Inform the coordinator early</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14800"/>
            <w:gridSpan w:val="8"/>
            <w:tcBorders>
              <w:top w:val="single" w:color="BFBFBF" w:sz="4"/>
              <w:left w:val="single" w:color="BFBFBF" w:sz="4"/>
              <w:bottom w:val="single" w:color="BFBFBF" w:sz="4"/>
              <w:right w:val="single" w:color="BFBFBF" w:sz="4"/>
            </w:tcBorders>
            <w:shd w:fill="EAF1FB" w:color="auto" w:val="clear"/>
            <w:tcMar>
              <w:top w:type="dxa" w:w="60"/>
              <w:left w:type="dxa" w:w="120"/>
              <w:bottom w:type="dxa" w:w="60"/>
              <w:right w:type="dxa" w:w="120"/>
            </w:tcMar>
            <w:vAlign w:val="center"/>
          </w:tcPr>
          <w:p>
            <w:pPr>
              <w:keepNext/>
              <w:spacing w:after="0"/>
            </w:pPr>
            <w:r>
              <w:rPr>
                <w:rFonts w:ascii="Calibri" w:cs="Calibri" w:eastAsia="Calibri" w:hAnsi="Calibri"/>
                <w:b/>
                <w:bCs/>
                <w:color w:val="1F3864"/>
                <w:sz w:val="22"/>
                <w:szCs w:val="22"/>
              </w:rPr>
              <w:t xml:space="preserve">Team &amp; Management</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M1</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 member is absent, sick or overloaded with other courses</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High</w:t>
            </w:r>
          </w:p>
        </w:tc>
        <w:tc>
          <w:tcPr>
            <w:tcW w:type="dxa" w:w="115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6 – High</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Every role has a backup person; weekly status check</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Redistribute tasks immediately</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M2</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Uneven workload or a member not contributing</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High</w:t>
            </w:r>
          </w:p>
        </w:tc>
        <w:tc>
          <w:tcPr>
            <w:tcW w:type="dxa" w:w="115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6 – High</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Clear owners in the plan; review progress on the Gantt every week</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Reassign tasks; inform the coordinator if needed</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M3</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Poor communication or misunderstandings</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15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4 – Medium</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One team chat, a weekly meeting, decisions written down</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Hold an extra meeting and re-confirm tasks</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M4</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Skill gaps (SQL, Tableau, DAX, GitHub)</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15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4 – Medium</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Assign by skill; pair work; short peer training</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Adjust roles</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M5</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Two members duplicate work (e.g., both dashboards the same) or edit conflicting versions</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15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4 – Medium</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Define clearly what Power BI and Tableau each cover in the Task Assignment</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Merge or keep the better version</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M6</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Disagreements inside the team</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Low</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150"/>
            <w:tcBorders>
              <w:top w:val="single" w:color="BFBFBF" w:sz="4"/>
              <w:left w:val="single" w:color="BFBFBF" w:sz="4"/>
              <w:bottom w:val="single" w:color="BFBFBF" w:sz="4"/>
              <w:right w:val="single" w:color="BFBFBF" w:sz="4"/>
            </w:tcBorders>
            <w:shd w:fill="C6E0B4"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2 – Low</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Decide by agreement; team lead decides if there is a tie</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Ask the lecturer or coordinator</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14800"/>
            <w:gridSpan w:val="8"/>
            <w:tcBorders>
              <w:top w:val="single" w:color="BFBFBF" w:sz="4"/>
              <w:left w:val="single" w:color="BFBFBF" w:sz="4"/>
              <w:bottom w:val="single" w:color="BFBFBF" w:sz="4"/>
              <w:right w:val="single" w:color="BFBFBF" w:sz="4"/>
            </w:tcBorders>
            <w:shd w:fill="EAF1FB" w:color="auto" w:val="clear"/>
            <w:tcMar>
              <w:top w:type="dxa" w:w="60"/>
              <w:left w:type="dxa" w:w="120"/>
              <w:bottom w:type="dxa" w:w="60"/>
              <w:right w:type="dxa" w:w="120"/>
            </w:tcMar>
            <w:vAlign w:val="center"/>
          </w:tcPr>
          <w:p>
            <w:pPr>
              <w:keepNext/>
              <w:spacing w:after="0"/>
            </w:pPr>
            <w:r>
              <w:rPr>
                <w:rFonts w:ascii="Calibri" w:cs="Calibri" w:eastAsia="Calibri" w:hAnsi="Calibri"/>
                <w:b/>
                <w:bCs/>
                <w:color w:val="1F3864"/>
                <w:sz w:val="22"/>
                <w:szCs w:val="22"/>
              </w:rPr>
              <w:t xml:space="preserve">Schedule &amp; Scope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S1</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Task time is underestimated</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High</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15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6 – High</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Use internal target dates before official deadlines; re-plan weekly</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Cut optional items (e.g., video demo)</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S2</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Three documents are due on the same day (16 Oct)</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High</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High</w:t>
            </w:r>
          </w:p>
        </w:tc>
        <w:tc>
          <w:tcPr>
            <w:tcW w:type="dxa" w:w="115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9 – High</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Start all three in parallel from day 1 and split them among members</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Prioritize and inform the coordinator</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S3</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Many design diagrams are due on 6 Nov</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High</w:t>
            </w:r>
          </w:p>
        </w:tc>
        <w:tc>
          <w:tcPr>
            <w:tcW w:type="dxa" w:w="115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6 – High</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Start by 26 Oct; one template per diagram type; split across members</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Reduce detail, keep all required diagrams</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S4</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Data cleaning is late and blocks all later work</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High</w:t>
            </w:r>
          </w:p>
        </w:tc>
        <w:tc>
          <w:tcPr>
            <w:tcW w:type="dxa" w:w="115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6 – High</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Start by 12 Oct; clean in stages and share an interim dataset</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Work on a partly cleaned subset</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S5</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Scope creep (forecasting, machine learning, extra datasets)</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15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4 – Medium</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Follow the Scope; log new ideas as 'future work'</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Remove the extra work</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S6</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Guideline is written for software projects; some items (API, deployment, Literature Review) are unclear for a data project</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High</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15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6 – High</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Ask the coordinator which items apply and note the answer</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Document assumptions in the report</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S7</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Lecturer feedback arrives late or asks for big changes</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15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4 – Medium</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Share drafts early; keep time buffers</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Prioritize the changes by grading weight</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S8</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Official deadlines or requirements change</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Low</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High</w:t>
            </w:r>
          </w:p>
        </w:tc>
        <w:tc>
          <w:tcPr>
            <w:tcW w:type="dxa" w:w="115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3 – Medium</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Check program announcements every week</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Update the Gantt and Plan the same day</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14800"/>
            <w:gridSpan w:val="8"/>
            <w:tcBorders>
              <w:top w:val="single" w:color="BFBFBF" w:sz="4"/>
              <w:left w:val="single" w:color="BFBFBF" w:sz="4"/>
              <w:bottom w:val="single" w:color="BFBFBF" w:sz="4"/>
              <w:right w:val="single" w:color="BFBFBF" w:sz="4"/>
            </w:tcBorders>
            <w:shd w:fill="EAF1FB" w:color="auto" w:val="clear"/>
            <w:tcMar>
              <w:top w:type="dxa" w:w="60"/>
              <w:left w:type="dxa" w:w="120"/>
              <w:bottom w:type="dxa" w:w="60"/>
              <w:right w:type="dxa" w:w="120"/>
            </w:tcMar>
            <w:vAlign w:val="center"/>
          </w:tcPr>
          <w:p>
            <w:pPr>
              <w:keepNext/>
              <w:spacing w:after="0"/>
            </w:pPr>
            <w:r>
              <w:rPr>
                <w:rFonts w:ascii="Calibri" w:cs="Calibri" w:eastAsia="Calibri" w:hAnsi="Calibri"/>
                <w:b/>
                <w:bCs/>
                <w:color w:val="1F3864"/>
                <w:sz w:val="22"/>
                <w:szCs w:val="22"/>
              </w:rPr>
              <w:t xml:space="preserve">Documentation &amp; Delivery</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G1</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 required deliverable from the guideline is forgotten</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High</w:t>
            </w:r>
          </w:p>
        </w:tc>
        <w:tc>
          <w:tcPr>
            <w:tcW w:type="dxa" w:w="115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6 – High</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Use the Deliverables table as a checklist; tick items before each deadline</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Complete and upload as soon as noticed</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G2</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Inconsistent format or naming between documents written by different members</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High</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Low</w:t>
            </w:r>
          </w:p>
        </w:tc>
        <w:tc>
          <w:tcPr>
            <w:tcW w:type="dxa" w:w="115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3 – Medium</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Common template and naming convention; final editing pass by one person</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Fix in a final review</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G3</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Documents not uploaded to GitHub on time or placed in the wrong folder</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High</w:t>
            </w:r>
          </w:p>
        </w:tc>
        <w:tc>
          <w:tcPr>
            <w:tcW w:type="dxa" w:w="115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6 – High</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Upload as soon as each document is ready; one folder per phase; check links</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Upload immediately and send the link</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G4</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README is incomplete (no install or run steps)</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15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4 – Medium</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Write the README from the guideline list (installation, requirements, configuration, run guide)</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Another member tests and completes it</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G5</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Live demo fails (dashboard does not open, no internet)</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High</w:t>
            </w:r>
          </w:p>
        </w:tc>
        <w:tc>
          <w:tcPr>
            <w:tcW w:type="dxa" w:w="1150"/>
            <w:tcBorders>
              <w:top w:val="single" w:color="BFBFBF" w:sz="4"/>
              <w:left w:val="single" w:color="BFBFBF" w:sz="4"/>
              <w:bottom w:val="single" w:color="BFBFBF" w:sz="4"/>
              <w:right w:val="single" w:color="BFBFBF" w:sz="4"/>
            </w:tcBorders>
            <w:shd w:fill="F8CBAD"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6 – High</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Rehearse; keep an offline copy and screenshots</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Switch to screenshots or the recorded video</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G6</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Presentation runs over time or lacks a clear story</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Medium</w:t>
            </w:r>
          </w:p>
        </w:tc>
        <w:tc>
          <w:tcPr>
            <w:tcW w:type="dxa" w:w="115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4 – Medium</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Prepare a story outline and rehearse at least twice</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Cut slides, keep key insights</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G7</w:t>
            </w:r>
          </w:p>
        </w:tc>
        <w:tc>
          <w:tcPr>
            <w:tcW w:type="dxa" w:w="35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Dataset not cited properly</w:t>
            </w:r>
          </w:p>
        </w:tc>
        <w:tc>
          <w:tcPr>
            <w:tcW w:type="dxa" w:w="115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Low</w:t>
            </w:r>
          </w:p>
        </w:tc>
        <w:tc>
          <w:tcPr>
            <w:tcW w:type="dxa" w:w="10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jc w:val="center"/>
            </w:pPr>
            <w:r>
              <w:rPr>
                <w:rFonts w:ascii="Calibri" w:cs="Calibri" w:eastAsia="Calibri" w:hAnsi="Calibri"/>
                <w:b w:val="false"/>
                <w:bCs w:val="false"/>
                <w:color w:val="262626"/>
                <w:sz w:val="20"/>
                <w:szCs w:val="20"/>
              </w:rPr>
              <w:t xml:space="preserve">High</w:t>
            </w:r>
          </w:p>
        </w:tc>
        <w:tc>
          <w:tcPr>
            <w:tcW w:type="dxa" w:w="1150"/>
            <w:tcBorders>
              <w:top w:val="single" w:color="BFBFBF" w:sz="4"/>
              <w:left w:val="single" w:color="BFBFBF" w:sz="4"/>
              <w:bottom w:val="single" w:color="BFBFBF" w:sz="4"/>
              <w:right w:val="single" w:color="BFBFBF" w:sz="4"/>
            </w:tcBorders>
            <w:shd w:fill="FFE699" w:color="auto" w:val="clear"/>
            <w:tcMar>
              <w:top w:type="dxa" w:w="60"/>
              <w:left w:type="dxa" w:w="120"/>
              <w:bottom w:type="dxa" w:w="60"/>
              <w:right w:type="dxa" w:w="120"/>
            </w:tcMar>
            <w:vAlign w:val="center"/>
          </w:tcPr>
          <w:p>
            <w:pPr>
              <w:spacing w:after="0"/>
              <w:jc w:val="center"/>
            </w:pPr>
            <w:r>
              <w:rPr>
                <w:rFonts w:ascii="Calibri" w:cs="Calibri" w:eastAsia="Calibri" w:hAnsi="Calibri"/>
                <w:b/>
                <w:bCs/>
                <w:color w:val="262626"/>
                <w:sz w:val="20"/>
                <w:szCs w:val="20"/>
              </w:rPr>
              <w:t xml:space="preserve">3 – Medium</w:t>
            </w:r>
          </w:p>
        </w:tc>
        <w:tc>
          <w:tcPr>
            <w:tcW w:type="dxa" w:w="35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Cite UCDP GED and the version used, as recommended by UCDP</w:t>
            </w:r>
          </w:p>
        </w:tc>
        <w:tc>
          <w:tcPr>
            <w:tcW w:type="dxa" w:w="2900"/>
            <w:tcBorders>
              <w:top w:val="single" w:color="BFBFBF" w:sz="4"/>
              <w:left w:val="single" w:color="BFBFBF" w:sz="4"/>
              <w:bottom w:val="single" w:color="BFBFBF" w:sz="4"/>
              <w:right w:val="single" w:color="BFBFBF" w:sz="4"/>
            </w:tcBorders>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Add citations before submission</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20"/>
              <w:bottom w:type="dxa" w:w="60"/>
              <w:right w:type="dxa" w:w="120"/>
            </w:tcMar>
            <w:vAlign w:val="center"/>
          </w:tcPr>
          <w:p>
            <w:pPr>
              <w:spacing w:after="0"/>
            </w:pPr>
            <w:r>
              <w:rPr>
                <w:rFonts w:ascii="Calibri" w:cs="Calibri" w:eastAsia="Calibri" w:hAnsi="Calibri"/>
                <w:b w:val="false"/>
                <w:bCs w:val="false"/>
                <w:color w:val="262626"/>
                <w:sz w:val="20"/>
                <w:szCs w:val="20"/>
              </w:rPr>
              <w:t xml:space="preserve"/>
            </w:r>
          </w:p>
        </w:tc>
      </w:tr>
    </w:tbl>
    <w:sectPr>
      <w:footerReference w:type="default" r:id="rId7"/>
      <w:pgSz w:w="16838" w:h="11906" w:orient="landscape"/>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Conflict Intelligence  |  Risk Assessment &amp; Mitigation Plan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2026-10-01T23:47:30.144Z</dcterms:created>
  <dcterms:modified xsi:type="dcterms:W3CDTF">2026-10-01T23:47:30.153Z</dcterms:modified>
</cp:coreProperties>
</file>

<file path=docProps/custom.xml><?xml version="1.0" encoding="utf-8"?>
<Properties xmlns="http://schemas.openxmlformats.org/officeDocument/2006/custom-properties" xmlns:vt="http://schemas.openxmlformats.org/officeDocument/2006/docPropsVTypes"/>
</file>