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75B5"/>
          <w:sz w:val="20"/>
        </w:rPr>
        <w:t>UC-S2-01</w:t>
      </w:r>
    </w:p>
    <w:p>
      <w:pPr>
        <w:pStyle w:val="Title"/>
        <w:spacing w:after="40"/>
      </w:pPr>
      <w:r>
        <w:t>Investigate and Classify Underground Cable Fields</w:t>
      </w:r>
    </w:p>
    <w:p>
      <w:pPr>
        <w:pStyle w:val="Subtitle"/>
      </w:pPr>
      <w:r>
        <w:rPr>
          <w:color w:val="555555"/>
        </w:rPr>
        <w:t>Sprint 2 Deliverable: Priority Field Matrix — field classification and data understanding</w:t>
      </w:r>
    </w:p>
    <w:p>
      <w:pPr>
        <w:pStyle w:val="SmallNote"/>
      </w:pPr>
      <w:r>
        <w:t>Dataset: Underground Cable Synthetic data(2).csv  |  5,000 records  |  21 fields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EF4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>Outcome</w:t>
              <w:br/>
            </w:r>
            <w:r>
              <w:rPr>
                <w:sz w:val="18"/>
              </w:rPr>
              <w:t>All 21 fields in the supplied synthetic underground-cable dataset are classified by role, type, unit/category and purpose. The three requested priority fields — asset_age_years, groundwater_indicator and corrosion_indicator — are explicitly treated as priority target/predictor fields. The dataset is complete (0 missing values), so it is suitable as the known reference version before controlled masking.</w:t>
            </w:r>
          </w:p>
        </w:tc>
      </w:tr>
    </w:tbl>
    <w:p>
      <w:pPr>
        <w:spacing w:after="20"/>
      </w:pPr>
    </w:p>
    <w:p>
      <w:pPr>
        <w:pStyle w:val="Heading1"/>
      </w:pPr>
      <w:r>
        <w:t>1.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1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051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Rows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5,000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One record per synthetic underground-cable asset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Columns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Identifier, engineering, spatial and environmental fields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 values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Reference dataset is fully complete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Duplicate rows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No full-row duplicates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Unique asset IDs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5,000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One unique asset_id per row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Feeders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FDR_001–style grouping identifiers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Installation year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1950–2026</w:t>
            </w:r>
          </w:p>
        </w:tc>
        <w:tc>
          <w:tcPr>
            <w:tcW w:type="dxa" w:w="10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asset_age_years spans 0–76 years</w:t>
            </w:r>
          </w:p>
        </w:tc>
      </w:tr>
    </w:tbl>
    <w:p>
      <w:pPr>
        <w:spacing w:after="20"/>
      </w:pPr>
    </w:p>
    <w:p>
      <w:pPr>
        <w:pStyle w:val="Heading1"/>
      </w:pPr>
      <w:r>
        <w:t>2. Field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52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Unit / categories</w:t>
            </w:r>
          </w:p>
        </w:tc>
        <w:tc>
          <w:tcPr>
            <w:tcW w:type="dxa" w:w="640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Purpose / interpretation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asset_id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Identifier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5,000 unique IDs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Traceability and joins. Do not use as a predictive signal.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feeder_id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Grouping /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60 feeder IDs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Groups assets for similar-asset or feeder-level analysis.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rated_voltage_kv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11 or 33 kV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Electrical rating; possible engineering segmentation variable.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installation_year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Derived source / target /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Year: 1950–2026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Direct source for age. If known, derive asset_age_years instead of imputing it.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asset_age_years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PRIORITY target /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Years: 0–76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Core ageing variable for reliability/Weibull-style analysis. Exact relation: 2026 − installation_year.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cable_length_m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Metres: 15–1,800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Physical exposure/extent; also related to joint_count in the synthetic 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insulation_type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Predictor / possible target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XLPE, PILC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Cable technology/ageing characteristic; strong age separation in this synthetic dataset.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conductor_material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Predictor / possible target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Aluminium, Copper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Cable construction characteristic; associated with age in the synthetic 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conductor_size_mm2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mm²: 50–630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Engineering specification and possible asset-type discriminator.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core_count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1 or 3 cores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Construction characteristic; shows a notable age relationship in the synthetic 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installation_method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Duct/Conduit, Direct Buried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Environmental/protection context; useful for corrosion-related modelling.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latitude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Enrichment key / spatial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Decimal degrees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Links assets to spatial/environmental data; midpoint of route geometry.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longitude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Enrichment key / spatial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Decimal degrees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Links assets to spatial/environmental data; midpoint of route geometry.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joint_count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Predictor / possible target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0–9 joints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Reliability-relevant construction/repair characteristic.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route_geometry_wkt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Spatial source / enrichment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Text geometry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5,000 LINESTRINGs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Route geometry for spatial derivation; redundant with midpoint latitude/longitude for basic location.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cable_type_raw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Raw composite / derivation source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24 raw descriptions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Encodes size, core count, material, insulation and voltage; useful for parsing structured fields.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groundwater_depth_m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Enrichment /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Metres: 1.16–11.43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Environmental measurement supporting groundwater exposure interpretation.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groundwater_exposure_score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Derived enrichment /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Score: 0.240–0.943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Continuous groundwater-exposure signal; strongly inversely related to groundwater depth.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groundwater_indicator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PRIORITY target / predictor / derived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Low, Medium, High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Priority environmental field. Closely tied to groundwater_exposure_score.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corrosion_exposure_score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Derived predictor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Numeric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Score: 0.121–0.984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Continuous corrosion exposure signal; related to groundwater exposure and installation method.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corrosion_indicator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PRIORITY target / predictor / derived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Categorical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Low, Medium, High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Priority deterioration/exposure field. Closely tied to corrosion_exposure_score.</w:t>
            </w:r>
          </w:p>
        </w:tc>
      </w:tr>
    </w:tbl>
    <w:p>
      <w:pPr>
        <w:spacing w:after="20"/>
      </w:pPr>
    </w:p>
    <w:p>
      <w:pPr>
        <w:pStyle w:val="Heading1"/>
      </w:pPr>
      <w:r>
        <w:t>3. Important structure and leakage findings</w:t>
      </w:r>
    </w:p>
    <w:p>
      <w:pPr>
        <w:pStyle w:val="ListBullet"/>
        <w:ind w:left="0"/>
      </w:pPr>
      <w:r>
        <w:rPr>
          <w:b/>
        </w:rPr>
        <w:t xml:space="preserve">Exact age derivation: </w:t>
      </w:r>
      <w:r>
        <w:t>asset_age_years = 2026 − installation_year for all 5,000 records. If installation_year is available, age should be derived rather than statistically imputed.</w:t>
      </w:r>
    </w:p>
    <w:p>
      <w:pPr>
        <w:pStyle w:val="ListBullet"/>
        <w:ind w:left="0"/>
      </w:pPr>
      <w:r>
        <w:rPr>
          <w:b/>
        </w:rPr>
        <w:t xml:space="preserve">Indicator leakage risk: </w:t>
      </w:r>
      <w:r>
        <w:t>groundwater_indicator is a categorical form of groundwater_exposure_score, and corrosion_indicator is a categorical form of corrosion_exposure_score. The observed category boundaries are approximately around 0.4 and 0.7; rounded scores make exact boundary cases ambiguous.</w:t>
      </w:r>
    </w:p>
    <w:p>
      <w:pPr>
        <w:pStyle w:val="ListBullet"/>
        <w:ind w:left="0"/>
      </w:pPr>
      <w:r>
        <w:rPr>
          <w:b/>
        </w:rPr>
        <w:t xml:space="preserve">Composite-text leakage risk: </w:t>
      </w:r>
      <w:r>
        <w:t>cable_type_raw reproduces conductor size, core count, conductor material, insulation type and voltage in all 5,000 rows checked. If one of those structured fields is masked while cable_type_raw remains visible, a model can recover the answer by parsing the text rather than learning a genuine imputation relationship.</w:t>
      </w:r>
    </w:p>
    <w:p>
      <w:pPr>
        <w:pStyle w:val="ListBullet"/>
        <w:ind w:left="0"/>
      </w:pPr>
      <w:r>
        <w:rPr>
          <w:b/>
        </w:rPr>
        <w:t xml:space="preserve">Spatial redundancy: </w:t>
      </w:r>
      <w:r>
        <w:t>latitude/longitude match the midpoint of route_geometry_wkt to within roughly 5.0e-07 degrees. Use route geometry for spatial processing, but avoid treating all three fields as independent evidence.</w:t>
      </w:r>
    </w:p>
    <w:p>
      <w:pPr>
        <w:pStyle w:val="ListBullet"/>
        <w:ind w:left="0"/>
      </w:pPr>
      <w:r>
        <w:rPr>
          <w:b/>
        </w:rPr>
        <w:t xml:space="preserve">Environmental relationship: </w:t>
      </w:r>
      <w:r>
        <w:t>groundwater_depth_m and groundwater_exposure_score have correlation -0.900; corrosion_exposure_score and groundwater_exposure_score have correlation 0.673.</w:t>
      </w:r>
    </w:p>
    <w:p>
      <w:pPr>
        <w:pStyle w:val="ListBullet"/>
        <w:ind w:left="0"/>
      </w:pPr>
      <w:r>
        <w:rPr>
          <w:b/>
        </w:rPr>
        <w:t xml:space="preserve">Installation relationship: </w:t>
      </w:r>
      <w:r>
        <w:t>Mean corrosion score is 0.623 for Direct Buried cables versus 0.536 for Duct/Conduit cables.</w:t>
      </w:r>
    </w:p>
    <w:p>
      <w:pPr>
        <w:pStyle w:val="Heading1"/>
      </w:pPr>
      <w:r>
        <w:t>4. Recommended use of the three priority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16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Priority field</w:t>
            </w:r>
          </w:p>
        </w:tc>
        <w:tc>
          <w:tcPr>
            <w:tcW w:type="dxa" w:w="1238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Recommended treatment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asset_age_years</w:t>
            </w:r>
          </w:p>
        </w:tc>
        <w:tc>
          <w:tcPr>
            <w:tcW w:type="dxa" w:w="12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 as a priority imputation target only when installation_year is unavailable or also masked. Otherwise derive it deterministically. Candidate predictors include insulation_type, conductor_material, core_count, joint_count, feeder_id and other engineering fields.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groundwater_indicator</w:t>
            </w:r>
          </w:p>
        </w:tc>
        <w:tc>
          <w:tcPr>
            <w:tcW w:type="dxa" w:w="12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If groundwater_exposure_score is present, derive/classify the indicator rather than impute it. For a genuine imputation test, mask the score at the same time and use groundwater_depth_m, location and installation_method as candidate predictors.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corrosion_indicator</w:t>
            </w:r>
          </w:p>
        </w:tc>
        <w:tc>
          <w:tcPr>
            <w:tcW w:type="dxa" w:w="12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If corrosion_exposure_score is present, derive/classify the indicator rather than impute it. For a genuine imputation test, mask the score and use groundwater variables, installation_method, location and other asset attributes.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>UC-S2-01 completion status</w:t>
              <w:br/>
            </w:r>
            <w:r>
              <w:rPr>
                <w:sz w:val="18"/>
              </w:rPr>
              <w:t>Done when: all relevant cable fields are classified and documented. This document classifies all 21 fields and identifies direct derivations/redundancies that must be controlled during later imputation experiments.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Member 1  •  Underground Cable Workstream 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Team 19 | SA Power Networks Capstone | Sprint 2 | UC-S2-01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