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75B5"/>
          <w:sz w:val="20"/>
        </w:rPr>
        <w:t>UC-S2-02</w:t>
      </w:r>
    </w:p>
    <w:p>
      <w:pPr>
        <w:pStyle w:val="Title"/>
        <w:spacing w:after="40"/>
      </w:pPr>
      <w:r>
        <w:t>Rank Underground Cable Priority Fields</w:t>
      </w:r>
    </w:p>
    <w:p>
      <w:pPr>
        <w:pStyle w:val="Subtitle"/>
      </w:pPr>
      <w:r>
        <w:rPr>
          <w:color w:val="555555"/>
        </w:rPr>
        <w:t>Sprint 2 Deliverable: High / Medium / Low Priority Field Matrix with justification</w:t>
      </w:r>
    </w:p>
    <w:p>
      <w:pPr>
        <w:pStyle w:val="SmallNote"/>
      </w:pPr>
      <w:r>
        <w:t>Dataset: Underground Cable Synthetic data(2).csv  |  5,000 records  |  21 fields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EF4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65D"/>
              </w:rPr>
              <w:t>Ranking approach</w:t>
              <w:br/>
            </w:r>
            <w:r>
              <w:rPr>
                <w:sz w:val="18"/>
              </w:rPr>
              <w:t>The roadmap criteria are SAPN/business relevance, engineering relevance, missingness, predictor availability, validation feasibility and downstream influence. Because the supplied reference dataset contains 0% missingness in every field, the missingness criterion is marked N/A and must be re-scored when masked test datasets or authorised SAPN data are available. The ranking below is therefore provisional but evidence-based.</w:t>
            </w:r>
          </w:p>
        </w:tc>
      </w:tr>
    </w:tbl>
    <w:p>
      <w:pPr>
        <w:spacing w:after="20"/>
      </w:pPr>
    </w:p>
    <w:p>
      <w:pPr>
        <w:pStyle w:val="Heading1"/>
      </w:pPr>
      <w:r>
        <w:t>1. Priority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266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9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123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Justification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asset_age_years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Direct ageing/Weibull relevance; easy to validate by masking; strong business value. Derive from installation_year when that field is available.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corrosion_indicator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Priority deterioration/exposure variable for underground assets; can support risk segmentation and can be validated as a categorical target.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groundwater_indicator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Priority environmental exposure variable for underground cables; useful for corrosion/failure context and external enrichment.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installation_year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Direct source of asset age and important lifecycle field; strongly connected to downstream ageing analysis.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insulation_type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engineering relevance and strong separation by asset age in this synthetic dataset (PILC assets are much older on average than XLPE).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groundwater_depth_m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Useful environmental predictor and strong driver of groundwater exposure score; relevance depends on reliability/resolution of the source.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installation_method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Engineering/environmental context; Direct Buried assets have higher mean corrosion exposure in this synthetic dataset.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groundwater_exposure_score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Strong continuous predictor for groundwater indicator, but mainly a derived/support field rather than the business-facing output.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corrosion_exposure_score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Strong continuous predictor for corrosion indicator and environmental risk, but mainly a derived/support field.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joint_count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Engineering/reliability relevance and available numeric validation; moderately related to cable length and age.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conductor_material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Engineering characteristic and useful age predictor in this synthetic dataset.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core_count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Construction characteristic and useful age predictor in this synthetic dataset.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cable_length_m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Physical extent and possible exposure measure; supports joint-count and risk analysis.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feeder_id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Useful grouping variable for similar-asset/feeder-based methods; not normally an imputation target.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rated_voltage_kv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Engineering segmentation field; limited variation in the synthetic data (11/33 kV).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conductor_size_mm2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Engineering specification useful for asset grouping and model context.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latitude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Spatial enrichment key; useful for joining groundwater/environmental sources.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longitude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Spatial enrichment key; useful for joining groundwater/environmental sources.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cable_type_raw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derivation source for structured cable attributes, but redundant as a direct modelling feature.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route_geometry_wkt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6"/>
              </w:rPr>
              <w:t>Important for geospatial enrichment but high-cardinality and redundant with midpoint coordinates for basic location.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asset_id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11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Essential identifier for traceability, but should not influence imputation or risk prediction.</w:t>
            </w:r>
          </w:p>
        </w:tc>
      </w:tr>
    </w:tbl>
    <w:p>
      <w:pPr>
        <w:spacing w:after="20"/>
      </w:pPr>
    </w:p>
    <w:p>
      <w:pPr>
        <w:pStyle w:val="Heading1"/>
      </w:pPr>
      <w:r>
        <w:t>2. Criteria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15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Business</w:t>
            </w:r>
          </w:p>
        </w:tc>
        <w:tc>
          <w:tcPr>
            <w:tcW w:type="dxa" w:w="122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Engineering</w:t>
            </w:r>
          </w:p>
        </w:tc>
        <w:tc>
          <w:tcPr>
            <w:tcW w:type="dxa" w:w="129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Missingness</w:t>
            </w:r>
          </w:p>
        </w:tc>
        <w:tc>
          <w:tcPr>
            <w:tcW w:type="dxa" w:w="151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Predictor</w:t>
              <w:br/>
              <w:t>availability</w:t>
            </w:r>
          </w:p>
        </w:tc>
        <w:tc>
          <w:tcPr>
            <w:tcW w:type="dxa" w:w="151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Validation</w:t>
              <w:br/>
              <w:t>feasibility</w:t>
            </w:r>
          </w:p>
        </w:tc>
        <w:tc>
          <w:tcPr>
            <w:tcW w:type="dxa" w:w="151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Downstream</w:t>
              <w:br/>
              <w:t>influence</w:t>
            </w:r>
          </w:p>
        </w:tc>
        <w:tc>
          <w:tcPr>
            <w:tcW w:type="dxa" w:w="122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Overall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asset_age_years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corrosion_indicator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groundwater_indicator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installation_year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insulation_type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groundwater_depth_m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installation_method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groundwater_exposure_score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corrosion_exposure_score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joint_count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conductor_material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core_count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cable_length_m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feeder_id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rated_voltage_kv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conductor_size_mm2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latitude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longitude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cable_type_raw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route_geometry_wkt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L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5"/>
              </w:rPr>
              <w:t>M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spacing w:after="0"/>
            </w:pPr>
            <w:r>
              <w:rPr>
                <w:sz w:val="15"/>
              </w:rPr>
              <w:t>LOW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asset_id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N/A*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CE4D6"/>
          </w:tcPr>
          <w:p>
            <w:pPr>
              <w:spacing w:after="0"/>
            </w:pPr>
            <w:r>
              <w:rPr>
                <w:sz w:val="15"/>
              </w:rPr>
              <w:t>LOW</w:t>
            </w:r>
          </w:p>
        </w:tc>
      </w:tr>
    </w:tbl>
    <w:p>
      <w:pPr>
        <w:spacing w:after="20"/>
      </w:pPr>
    </w:p>
    <w:p>
      <w:pPr>
        <w:pStyle w:val="SmallNote"/>
      </w:pPr>
      <w:r>
        <w:t>* Missingness = N/A because the supplied complete reference dataset has no missing values. This criterion must be updated after controlled masking and when real SAPN data is available.</w:t>
      </w:r>
    </w:p>
    <w:p>
      <w:pPr>
        <w:pStyle w:val="Heading1"/>
      </w:pPr>
      <w:r>
        <w:t>3. Dataset evidence supporting the ranking</w:t>
      </w:r>
    </w:p>
    <w:p>
      <w:pPr>
        <w:pStyle w:val="ListBullet"/>
        <w:ind w:left="0"/>
      </w:pPr>
      <w:r>
        <w:rPr>
          <w:b/>
        </w:rPr>
        <w:t xml:space="preserve">Age and insulation: </w:t>
      </w:r>
      <w:r>
        <w:t>mean age is 50.3 years for PILC versus 21.5 years for XLPE.</w:t>
      </w:r>
    </w:p>
    <w:p>
      <w:pPr>
        <w:pStyle w:val="ListBullet"/>
        <w:ind w:left="0"/>
      </w:pPr>
      <w:r>
        <w:rPr>
          <w:b/>
        </w:rPr>
        <w:t xml:space="preserve">Age and material: </w:t>
      </w:r>
      <w:r>
        <w:t>mean age is 39.3 years for Copper versus 22.9 years for Aluminium.</w:t>
      </w:r>
    </w:p>
    <w:p>
      <w:pPr>
        <w:pStyle w:val="ListBullet"/>
        <w:ind w:left="0"/>
      </w:pPr>
      <w:r>
        <w:rPr>
          <w:b/>
        </w:rPr>
        <w:t xml:space="preserve">Age and core count: </w:t>
      </w:r>
      <w:r>
        <w:t>mean age is 40.4 years for 3-core versus 21.7 years for 1-core cables.</w:t>
      </w:r>
    </w:p>
    <w:p>
      <w:pPr>
        <w:pStyle w:val="ListBullet"/>
        <w:ind w:left="0"/>
      </w:pPr>
      <w:r>
        <w:rPr>
          <w:b/>
        </w:rPr>
        <w:t xml:space="preserve">Groundwater relationship: </w:t>
      </w:r>
      <w:r>
        <w:t>groundwater depth vs exposure score correlation = -0.900, providing strong validation/predictor availability for groundwater-related fields.</w:t>
      </w:r>
    </w:p>
    <w:p>
      <w:pPr>
        <w:pStyle w:val="ListBullet"/>
        <w:ind w:left="0"/>
      </w:pPr>
      <w:r>
        <w:rPr>
          <w:b/>
        </w:rPr>
        <w:t xml:space="preserve">Corrosion relationship: </w:t>
      </w:r>
      <w:r>
        <w:t>corrosion exposure vs groundwater exposure correlation = 0.673; Direct Buried mean corrosion score = 0.623 vs Duct/Conduit = 0.536.</w:t>
      </w:r>
    </w:p>
    <w:p>
      <w:pPr>
        <w:pStyle w:val="Heading1"/>
      </w:pPr>
      <w:r>
        <w:t>4. Priority-field handling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2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Ranking decision</w:t>
            </w:r>
          </w:p>
        </w:tc>
        <w:tc>
          <w:tcPr>
            <w:tcW w:type="dxa" w:w="1094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Testing rule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asset_age_years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0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 not allow installation_year to make the imputation trivial. Either derive age directly when year is known, or mask year together with age for a genuine imputation experiment.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groundwater_indicator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0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sz w:val="17"/>
              </w:rPr>
              <w:t>If groundwater_exposure_score remains present, derive the indicator. For imputation testing, mask the score as well and use depth/spatial/environmental predictors.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corrosion_indicator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0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If corrosion_exposure_score remains present, derive the indicator. For imputation testing, mask the score and use groundwater, installation method, location and asset attributes.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65D"/>
              </w:rPr>
              <w:t>UC-S2-02 completion status</w:t>
              <w:br/>
            </w:r>
            <w:r>
              <w:rPr>
                <w:sz w:val="18"/>
              </w:rPr>
              <w:t>Done when: a High/Medium/Low priority matrix is completed with justification. This document provides the full provisional ranking and criterion-by-criterion matrix. Re-score missingness after masked datasets or SAPN data are available.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Member 1  •  Underground Cable Workstream 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Team 19 | SA Power Networks Capstone | Sprint 2 | UC-S2-02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