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F75B5"/>
          <w:sz w:val="20"/>
        </w:rPr>
        <w:t>UC-S2-03</w:t>
      </w:r>
    </w:p>
    <w:p>
      <w:pPr>
        <w:pStyle w:val="Title"/>
        <w:spacing w:after="40"/>
      </w:pPr>
      <w:r>
        <w:t>Define Synthetic Dataset Assumptions and Reference Version</w:t>
      </w:r>
    </w:p>
    <w:p>
      <w:pPr>
        <w:pStyle w:val="Subtitle"/>
      </w:pPr>
      <w:r>
        <w:rPr>
          <w:color w:val="555555"/>
        </w:rPr>
        <w:t>Sprint 2 Deliverable: Synthetic Data Design and documented known-reference dataset</w:t>
      </w:r>
    </w:p>
    <w:p>
      <w:pPr>
        <w:pStyle w:val="SmallNote"/>
      </w:pPr>
      <w:r>
        <w:t>Dataset: Underground Cable Synthetic data(2).csv  |  5,000 records  |  21 fields</w:t>
      </w:r>
    </w:p>
    <w:p/>
    <w:tbl>
      <w:tblPr>
        <w:tblW w:type="auto" w:w="0"/>
        <w:jc w:val="center"/>
        <w:tblLook w:firstColumn="1" w:firstRow="1" w:lastColumn="0" w:lastRow="0" w:noHBand="0" w:noVBand="1" w:val="04A0"/>
      </w:tblPr>
      <w:tblGrid>
        <w:gridCol w:w="10325"/>
      </w:tblGrid>
      <w:tr>
        <w:tc>
          <w:tcPr>
            <w:tcW w:type="dxa" w:w="10325"/>
            <w:shd w:fill="E2F0D9"/>
            <w:tcMar>
              <w:top w:w="120" w:type="dxa"/>
              <w:start w:w="120" w:type="dxa"/>
              <w:bottom w:w="120" w:type="dxa"/>
              <w:end w:w="120" w:type="dxa"/>
            </w:tcMar>
          </w:tcPr>
          <w:p>
            <w:r>
              <w:rPr>
                <w:b/>
                <w:color w:val="17365D"/>
              </w:rPr>
              <w:t>Reference version preserved</w:t>
              <w:br/>
            </w:r>
            <w:r>
              <w:rPr>
                <w:sz w:val="18"/>
              </w:rPr>
              <w:t>An exact copy of the supplied complete dataset has been preserved as UC-S2-03_Underground_Cable_Complete_Reference_v1.csv. It contains 5,000 rows, 21 fields and no missing values. All future missingness experiments should be made on copies, never on this reference file.</w:t>
            </w:r>
          </w:p>
        </w:tc>
      </w:tr>
    </w:tbl>
    <w:p>
      <w:pPr>
        <w:spacing w:after="20"/>
      </w:pPr>
    </w:p>
    <w:p>
      <w:pPr>
        <w:pStyle w:val="Heading1"/>
      </w:pPr>
      <w:r>
        <w:t>1. Reference dataset record</w:t>
      </w:r>
    </w:p>
    <w:tbl>
      <w:tblPr>
        <w:tblStyle w:val="TableGrid"/>
        <w:tblW w:type="auto" w:w="0"/>
        <w:jc w:val="center"/>
        <w:tblLook w:firstColumn="1" w:firstRow="1" w:lastColumn="0" w:lastRow="0" w:noHBand="0" w:noVBand="1" w:val="04A0"/>
      </w:tblPr>
      <w:tblGrid>
        <w:gridCol w:w="5162"/>
        <w:gridCol w:w="5162"/>
      </w:tblGrid>
      <w:tr>
        <w:trPr>
          <w:tblHeader w:val="true"/>
          <w:cantSplit/>
        </w:trPr>
        <w:tc>
          <w:tcPr>
            <w:tcW w:type="dxa" w:w="3024"/>
            <w:shd w:fill="17365D"/>
            <w:vAlign w:val="center"/>
            <w:tcMar>
              <w:top w:w="80" w:type="dxa"/>
              <w:start w:w="80" w:type="dxa"/>
              <w:bottom w:w="80" w:type="dxa"/>
              <w:end w:w="80" w:type="dxa"/>
            </w:tcMar>
          </w:tcPr>
          <w:p>
            <w:r>
              <w:rPr>
                <w:b/>
                <w:color w:val="FFFFFF"/>
                <w:sz w:val="16"/>
              </w:rPr>
              <w:t>Item</w:t>
            </w:r>
          </w:p>
        </w:tc>
        <w:tc>
          <w:tcPr>
            <w:tcW w:type="dxa" w:w="6912"/>
            <w:shd w:fill="17365D"/>
            <w:vAlign w:val="center"/>
            <w:tcMar>
              <w:top w:w="80" w:type="dxa"/>
              <w:start w:w="80" w:type="dxa"/>
              <w:bottom w:w="80" w:type="dxa"/>
              <w:end w:w="80" w:type="dxa"/>
            </w:tcMar>
          </w:tcPr>
          <w:p>
            <w:r>
              <w:rPr>
                <w:b/>
                <w:color w:val="FFFFFF"/>
                <w:sz w:val="16"/>
              </w:rPr>
              <w:t>Recorded value</w:t>
            </w:r>
          </w:p>
        </w:tc>
      </w:tr>
      <w:tr>
        <w:trPr>
          <w:cantSplit/>
        </w:trPr>
        <w:tc>
          <w:tcPr>
            <w:tcW w:type="dxa" w:w="3024"/>
            <w:vAlign w:val="top"/>
            <w:tcMar>
              <w:top w:w="80" w:type="dxa"/>
              <w:start w:w="80" w:type="dxa"/>
              <w:bottom w:w="80" w:type="dxa"/>
              <w:end w:w="80" w:type="dxa"/>
            </w:tcMar>
          </w:tcPr>
          <w:p>
            <w:pPr>
              <w:spacing w:after="0"/>
            </w:pPr>
            <w:r>
              <w:rPr>
                <w:sz w:val="16"/>
              </w:rPr>
              <w:t>Reference file</w:t>
            </w:r>
          </w:p>
        </w:tc>
        <w:tc>
          <w:tcPr>
            <w:tcW w:type="dxa" w:w="6912"/>
            <w:vAlign w:val="top"/>
            <w:tcMar>
              <w:top w:w="80" w:type="dxa"/>
              <w:start w:w="80" w:type="dxa"/>
              <w:bottom w:w="80" w:type="dxa"/>
              <w:end w:w="80" w:type="dxa"/>
            </w:tcMar>
          </w:tcPr>
          <w:p>
            <w:pPr>
              <w:spacing w:after="0"/>
            </w:pPr>
            <w:r>
              <w:rPr>
                <w:sz w:val="16"/>
              </w:rPr>
              <w:t>UC-S2-03_Underground_Cable_Complete_Reference_v1.csv</w:t>
            </w:r>
          </w:p>
        </w:tc>
      </w:tr>
      <w:tr>
        <w:trPr>
          <w:cantSplit/>
        </w:trPr>
        <w:tc>
          <w:tcPr>
            <w:tcW w:type="dxa" w:w="3024"/>
            <w:vAlign w:val="top"/>
            <w:tcMar>
              <w:top w:w="80" w:type="dxa"/>
              <w:start w:w="80" w:type="dxa"/>
              <w:bottom w:w="80" w:type="dxa"/>
              <w:end w:w="80" w:type="dxa"/>
            </w:tcMar>
            <w:shd w:fill="F7F9FB"/>
          </w:tcPr>
          <w:p>
            <w:pPr>
              <w:spacing w:after="0"/>
            </w:pPr>
            <w:r>
              <w:rPr>
                <w:sz w:val="16"/>
              </w:rPr>
              <w:t>Source file</w:t>
            </w:r>
          </w:p>
        </w:tc>
        <w:tc>
          <w:tcPr>
            <w:tcW w:type="dxa" w:w="6912"/>
            <w:vAlign w:val="top"/>
            <w:tcMar>
              <w:top w:w="80" w:type="dxa"/>
              <w:start w:w="80" w:type="dxa"/>
              <w:bottom w:w="80" w:type="dxa"/>
              <w:end w:w="80" w:type="dxa"/>
            </w:tcMar>
            <w:shd w:fill="F7F9FB"/>
          </w:tcPr>
          <w:p>
            <w:pPr>
              <w:spacing w:after="0"/>
            </w:pPr>
            <w:r>
              <w:rPr>
                <w:sz w:val="16"/>
              </w:rPr>
              <w:t>Underground Cable Synthetic data(2).csv</w:t>
            </w:r>
          </w:p>
        </w:tc>
      </w:tr>
      <w:tr>
        <w:trPr>
          <w:cantSplit/>
        </w:trPr>
        <w:tc>
          <w:tcPr>
            <w:tcW w:type="dxa" w:w="3024"/>
            <w:vAlign w:val="top"/>
            <w:tcMar>
              <w:top w:w="80" w:type="dxa"/>
              <w:start w:w="80" w:type="dxa"/>
              <w:bottom w:w="80" w:type="dxa"/>
              <w:end w:w="80" w:type="dxa"/>
            </w:tcMar>
          </w:tcPr>
          <w:p>
            <w:pPr>
              <w:spacing w:after="0"/>
            </w:pPr>
            <w:r>
              <w:rPr>
                <w:sz w:val="16"/>
              </w:rPr>
              <w:t>Rows / columns</w:t>
            </w:r>
          </w:p>
        </w:tc>
        <w:tc>
          <w:tcPr>
            <w:tcW w:type="dxa" w:w="6912"/>
            <w:vAlign w:val="top"/>
            <w:tcMar>
              <w:top w:w="80" w:type="dxa"/>
              <w:start w:w="80" w:type="dxa"/>
              <w:bottom w:w="80" w:type="dxa"/>
              <w:end w:w="80" w:type="dxa"/>
            </w:tcMar>
          </w:tcPr>
          <w:p>
            <w:pPr>
              <w:spacing w:after="0"/>
            </w:pPr>
            <w:r>
              <w:rPr>
                <w:sz w:val="16"/>
              </w:rPr>
              <w:t>5,000 / 21</w:t>
            </w:r>
          </w:p>
        </w:tc>
      </w:tr>
      <w:tr>
        <w:trPr>
          <w:cantSplit/>
        </w:trPr>
        <w:tc>
          <w:tcPr>
            <w:tcW w:type="dxa" w:w="3024"/>
            <w:vAlign w:val="top"/>
            <w:tcMar>
              <w:top w:w="80" w:type="dxa"/>
              <w:start w:w="80" w:type="dxa"/>
              <w:bottom w:w="80" w:type="dxa"/>
              <w:end w:w="80" w:type="dxa"/>
            </w:tcMar>
            <w:shd w:fill="F7F9FB"/>
          </w:tcPr>
          <w:p>
            <w:pPr>
              <w:spacing w:after="0"/>
            </w:pPr>
            <w:r>
              <w:rPr>
                <w:sz w:val="16"/>
              </w:rPr>
              <w:t>Missing values</w:t>
            </w:r>
          </w:p>
        </w:tc>
        <w:tc>
          <w:tcPr>
            <w:tcW w:type="dxa" w:w="6912"/>
            <w:vAlign w:val="top"/>
            <w:tcMar>
              <w:top w:w="80" w:type="dxa"/>
              <w:start w:w="80" w:type="dxa"/>
              <w:bottom w:w="80" w:type="dxa"/>
              <w:end w:w="80" w:type="dxa"/>
            </w:tcMar>
            <w:shd w:fill="F7F9FB"/>
          </w:tcPr>
          <w:p>
            <w:pPr>
              <w:spacing w:after="0"/>
            </w:pPr>
            <w:r>
              <w:rPr>
                <w:sz w:val="16"/>
              </w:rPr>
              <w:t>0</w:t>
            </w:r>
          </w:p>
        </w:tc>
      </w:tr>
      <w:tr>
        <w:trPr>
          <w:cantSplit/>
        </w:trPr>
        <w:tc>
          <w:tcPr>
            <w:tcW w:type="dxa" w:w="3024"/>
            <w:vAlign w:val="top"/>
            <w:tcMar>
              <w:top w:w="80" w:type="dxa"/>
              <w:start w:w="80" w:type="dxa"/>
              <w:bottom w:w="80" w:type="dxa"/>
              <w:end w:w="80" w:type="dxa"/>
            </w:tcMar>
          </w:tcPr>
          <w:p>
            <w:pPr>
              <w:spacing w:after="0"/>
            </w:pPr>
            <w:r>
              <w:rPr>
                <w:sz w:val="16"/>
              </w:rPr>
              <w:t>Duplicate rows</w:t>
            </w:r>
          </w:p>
        </w:tc>
        <w:tc>
          <w:tcPr>
            <w:tcW w:type="dxa" w:w="6912"/>
            <w:vAlign w:val="top"/>
            <w:tcMar>
              <w:top w:w="80" w:type="dxa"/>
              <w:start w:w="80" w:type="dxa"/>
              <w:bottom w:w="80" w:type="dxa"/>
              <w:end w:w="80" w:type="dxa"/>
            </w:tcMar>
          </w:tcPr>
          <w:p>
            <w:pPr>
              <w:spacing w:after="0"/>
            </w:pPr>
            <w:r>
              <w:rPr>
                <w:sz w:val="16"/>
              </w:rPr>
              <w:t>0</w:t>
            </w:r>
          </w:p>
        </w:tc>
      </w:tr>
      <w:tr>
        <w:trPr>
          <w:cantSplit/>
        </w:trPr>
        <w:tc>
          <w:tcPr>
            <w:tcW w:type="dxa" w:w="3024"/>
            <w:vAlign w:val="top"/>
            <w:tcMar>
              <w:top w:w="80" w:type="dxa"/>
              <w:start w:w="80" w:type="dxa"/>
              <w:bottom w:w="80" w:type="dxa"/>
              <w:end w:w="80" w:type="dxa"/>
            </w:tcMar>
            <w:shd w:fill="F7F9FB"/>
          </w:tcPr>
          <w:p>
            <w:pPr>
              <w:spacing w:after="0"/>
            </w:pPr>
            <w:r>
              <w:rPr>
                <w:sz w:val="16"/>
              </w:rPr>
              <w:t>Unique asset IDs</w:t>
            </w:r>
          </w:p>
        </w:tc>
        <w:tc>
          <w:tcPr>
            <w:tcW w:type="dxa" w:w="6912"/>
            <w:vAlign w:val="top"/>
            <w:tcMar>
              <w:top w:w="80" w:type="dxa"/>
              <w:start w:w="80" w:type="dxa"/>
              <w:bottom w:w="80" w:type="dxa"/>
              <w:end w:w="80" w:type="dxa"/>
            </w:tcMar>
            <w:shd w:fill="F7F9FB"/>
          </w:tcPr>
          <w:p>
            <w:pPr>
              <w:spacing w:after="0"/>
            </w:pPr>
            <w:r>
              <w:rPr>
                <w:sz w:val="16"/>
              </w:rPr>
              <w:t>5,000</w:t>
            </w:r>
          </w:p>
        </w:tc>
      </w:tr>
      <w:tr>
        <w:trPr>
          <w:cantSplit/>
        </w:trPr>
        <w:tc>
          <w:tcPr>
            <w:tcW w:type="dxa" w:w="3024"/>
            <w:vAlign w:val="top"/>
            <w:tcMar>
              <w:top w:w="80" w:type="dxa"/>
              <w:start w:w="80" w:type="dxa"/>
              <w:bottom w:w="80" w:type="dxa"/>
              <w:end w:w="80" w:type="dxa"/>
            </w:tcMar>
          </w:tcPr>
          <w:p>
            <w:pPr>
              <w:spacing w:after="0"/>
            </w:pPr>
            <w:r>
              <w:rPr>
                <w:sz w:val="16"/>
              </w:rPr>
              <w:t>SHA-256 checksum</w:t>
            </w:r>
          </w:p>
        </w:tc>
        <w:tc>
          <w:tcPr>
            <w:tcW w:type="dxa" w:w="6912"/>
            <w:vAlign w:val="top"/>
            <w:tcMar>
              <w:top w:w="80" w:type="dxa"/>
              <w:start w:w="80" w:type="dxa"/>
              <w:bottom w:w="80" w:type="dxa"/>
              <w:end w:w="80" w:type="dxa"/>
            </w:tcMar>
          </w:tcPr>
          <w:p>
            <w:pPr>
              <w:spacing w:after="0"/>
            </w:pPr>
            <w:r>
              <w:rPr>
                <w:sz w:val="16"/>
              </w:rPr>
              <w:t>6398cbaf2df0d4ddbf280539fe1551f3c51ba1211ca1b07484dafde9f545730c</w:t>
            </w:r>
          </w:p>
        </w:tc>
      </w:tr>
      <w:tr>
        <w:trPr>
          <w:cantSplit/>
        </w:trPr>
        <w:tc>
          <w:tcPr>
            <w:tcW w:type="dxa" w:w="3024"/>
            <w:vAlign w:val="top"/>
            <w:tcMar>
              <w:top w:w="80" w:type="dxa"/>
              <w:start w:w="80" w:type="dxa"/>
              <w:bottom w:w="80" w:type="dxa"/>
              <w:end w:w="80" w:type="dxa"/>
            </w:tcMar>
            <w:shd w:fill="F7F9FB"/>
          </w:tcPr>
          <w:p>
            <w:pPr>
              <w:spacing w:after="0"/>
            </w:pPr>
            <w:r>
              <w:rPr>
                <w:sz w:val="16"/>
              </w:rPr>
              <w:t>Interpretation</w:t>
            </w:r>
          </w:p>
        </w:tc>
        <w:tc>
          <w:tcPr>
            <w:tcW w:type="dxa" w:w="6912"/>
            <w:vAlign w:val="top"/>
            <w:tcMar>
              <w:top w:w="80" w:type="dxa"/>
              <w:start w:w="80" w:type="dxa"/>
              <w:bottom w:w="80" w:type="dxa"/>
              <w:end w:w="80" w:type="dxa"/>
            </w:tcMar>
            <w:shd w:fill="F7F9FB"/>
          </w:tcPr>
          <w:p>
            <w:pPr>
              <w:spacing w:after="0"/>
            </w:pPr>
            <w:r>
              <w:rPr>
                <w:sz w:val="16"/>
              </w:rPr>
              <w:t>Synthetic test data only; not real SAPN asset data</w:t>
            </w:r>
          </w:p>
        </w:tc>
      </w:tr>
    </w:tbl>
    <w:p>
      <w:pPr>
        <w:spacing w:after="20"/>
      </w:pPr>
    </w:p>
    <w:p>
      <w:pPr>
        <w:pStyle w:val="Heading1"/>
      </w:pPr>
      <w:r>
        <w:t>2. Observed distributions in the supplied synthetic data</w:t>
      </w:r>
    </w:p>
    <w:tbl>
      <w:tblPr>
        <w:tblStyle w:val="TableGrid"/>
        <w:tblW w:type="auto" w:w="0"/>
        <w:jc w:val="center"/>
        <w:tblLook w:firstColumn="1" w:firstRow="1" w:lastColumn="0" w:lastRow="0" w:noHBand="0" w:noVBand="1" w:val="04A0"/>
      </w:tblPr>
      <w:tblGrid>
        <w:gridCol w:w="3442"/>
        <w:gridCol w:w="3442"/>
        <w:gridCol w:w="3442"/>
      </w:tblGrid>
      <w:tr>
        <w:trPr>
          <w:tblHeader w:val="true"/>
          <w:cantSplit/>
        </w:trPr>
        <w:tc>
          <w:tcPr>
            <w:tcW w:type="dxa" w:w="3312"/>
            <w:shd w:fill="17365D"/>
            <w:vAlign w:val="center"/>
            <w:tcMar>
              <w:top w:w="80" w:type="dxa"/>
              <w:start w:w="80" w:type="dxa"/>
              <w:bottom w:w="80" w:type="dxa"/>
              <w:end w:w="80" w:type="dxa"/>
            </w:tcMar>
          </w:tcPr>
          <w:p>
            <w:r>
              <w:rPr>
                <w:b/>
                <w:color w:val="FFFFFF"/>
                <w:sz w:val="17"/>
              </w:rPr>
              <w:t>Field</w:t>
            </w:r>
          </w:p>
        </w:tc>
        <w:tc>
          <w:tcPr>
            <w:tcW w:type="dxa" w:w="2304"/>
            <w:shd w:fill="17365D"/>
            <w:vAlign w:val="center"/>
            <w:tcMar>
              <w:top w:w="80" w:type="dxa"/>
              <w:start w:w="80" w:type="dxa"/>
              <w:bottom w:w="80" w:type="dxa"/>
              <w:end w:w="80" w:type="dxa"/>
            </w:tcMar>
          </w:tcPr>
          <w:p>
            <w:r>
              <w:rPr>
                <w:b/>
                <w:color w:val="FFFFFF"/>
                <w:sz w:val="17"/>
              </w:rPr>
              <w:t>Observed range</w:t>
            </w:r>
          </w:p>
        </w:tc>
        <w:tc>
          <w:tcPr>
            <w:tcW w:type="dxa" w:w="4320"/>
            <w:shd w:fill="17365D"/>
            <w:vAlign w:val="center"/>
            <w:tcMar>
              <w:top w:w="80" w:type="dxa"/>
              <w:start w:w="80" w:type="dxa"/>
              <w:bottom w:w="80" w:type="dxa"/>
              <w:end w:w="80" w:type="dxa"/>
            </w:tcMar>
          </w:tcPr>
          <w:p>
            <w:r>
              <w:rPr>
                <w:b/>
                <w:color w:val="FFFFFF"/>
                <w:sz w:val="17"/>
              </w:rPr>
              <w:t>Summary</w:t>
            </w:r>
          </w:p>
        </w:tc>
      </w:tr>
      <w:tr>
        <w:trPr>
          <w:cantSplit/>
        </w:trPr>
        <w:tc>
          <w:tcPr>
            <w:tcW w:type="dxa" w:w="3312"/>
            <w:vAlign w:val="top"/>
            <w:tcMar>
              <w:top w:w="80" w:type="dxa"/>
              <w:start w:w="80" w:type="dxa"/>
              <w:bottom w:w="80" w:type="dxa"/>
              <w:end w:w="80" w:type="dxa"/>
            </w:tcMar>
          </w:tcPr>
          <w:p>
            <w:pPr>
              <w:spacing w:after="0"/>
            </w:pPr>
            <w:r>
              <w:rPr>
                <w:sz w:val="17"/>
              </w:rPr>
              <w:t>installation_year</w:t>
            </w:r>
          </w:p>
        </w:tc>
        <w:tc>
          <w:tcPr>
            <w:tcW w:type="dxa" w:w="2304"/>
            <w:vAlign w:val="top"/>
            <w:tcMar>
              <w:top w:w="80" w:type="dxa"/>
              <w:start w:w="80" w:type="dxa"/>
              <w:bottom w:w="80" w:type="dxa"/>
              <w:end w:w="80" w:type="dxa"/>
            </w:tcMar>
          </w:tcPr>
          <w:p>
            <w:pPr>
              <w:spacing w:after="0"/>
            </w:pPr>
            <w:r>
              <w:rPr>
                <w:sz w:val="17"/>
              </w:rPr>
              <w:t>1950–2026</w:t>
            </w:r>
          </w:p>
        </w:tc>
        <w:tc>
          <w:tcPr>
            <w:tcW w:type="dxa" w:w="4320"/>
            <w:vAlign w:val="top"/>
            <w:tcMar>
              <w:top w:w="80" w:type="dxa"/>
              <w:start w:w="80" w:type="dxa"/>
              <w:bottom w:w="80" w:type="dxa"/>
              <w:end w:w="80" w:type="dxa"/>
            </w:tcMar>
          </w:tcPr>
          <w:p>
            <w:pPr>
              <w:spacing w:after="0"/>
            </w:pPr>
            <w:r>
              <w:rPr>
                <w:sz w:val="17"/>
              </w:rPr>
              <w:t>Mean 1997.1; median 2000</w:t>
            </w:r>
          </w:p>
        </w:tc>
      </w:tr>
      <w:tr>
        <w:trPr>
          <w:cantSplit/>
        </w:trPr>
        <w:tc>
          <w:tcPr>
            <w:tcW w:type="dxa" w:w="3312"/>
            <w:vAlign w:val="top"/>
            <w:tcMar>
              <w:top w:w="80" w:type="dxa"/>
              <w:start w:w="80" w:type="dxa"/>
              <w:bottom w:w="80" w:type="dxa"/>
              <w:end w:w="80" w:type="dxa"/>
            </w:tcMar>
            <w:shd w:fill="F7F9FB"/>
          </w:tcPr>
          <w:p>
            <w:pPr>
              <w:spacing w:after="0"/>
            </w:pPr>
            <w:r>
              <w:rPr>
                <w:sz w:val="17"/>
              </w:rPr>
              <w:t>asset_age_years</w:t>
            </w:r>
          </w:p>
        </w:tc>
        <w:tc>
          <w:tcPr>
            <w:tcW w:type="dxa" w:w="2304"/>
            <w:vAlign w:val="top"/>
            <w:tcMar>
              <w:top w:w="80" w:type="dxa"/>
              <w:start w:w="80" w:type="dxa"/>
              <w:bottom w:w="80" w:type="dxa"/>
              <w:end w:w="80" w:type="dxa"/>
            </w:tcMar>
            <w:shd w:fill="F7F9FB"/>
          </w:tcPr>
          <w:p>
            <w:pPr>
              <w:spacing w:after="0"/>
            </w:pPr>
            <w:r>
              <w:rPr>
                <w:sz w:val="17"/>
              </w:rPr>
              <w:t>0–76 years</w:t>
            </w:r>
          </w:p>
        </w:tc>
        <w:tc>
          <w:tcPr>
            <w:tcW w:type="dxa" w:w="4320"/>
            <w:vAlign w:val="top"/>
            <w:tcMar>
              <w:top w:w="80" w:type="dxa"/>
              <w:start w:w="80" w:type="dxa"/>
              <w:bottom w:w="80" w:type="dxa"/>
              <w:end w:w="80" w:type="dxa"/>
            </w:tcMar>
            <w:shd w:fill="F7F9FB"/>
          </w:tcPr>
          <w:p>
            <w:pPr>
              <w:spacing w:after="0"/>
            </w:pPr>
            <w:r>
              <w:rPr>
                <w:sz w:val="17"/>
              </w:rPr>
              <w:t>Mean 28.9; median 26.0</w:t>
            </w:r>
          </w:p>
        </w:tc>
      </w:tr>
      <w:tr>
        <w:trPr>
          <w:cantSplit/>
        </w:trPr>
        <w:tc>
          <w:tcPr>
            <w:tcW w:type="dxa" w:w="3312"/>
            <w:vAlign w:val="top"/>
            <w:tcMar>
              <w:top w:w="80" w:type="dxa"/>
              <w:start w:w="80" w:type="dxa"/>
              <w:bottom w:w="80" w:type="dxa"/>
              <w:end w:w="80" w:type="dxa"/>
            </w:tcMar>
          </w:tcPr>
          <w:p>
            <w:pPr>
              <w:spacing w:after="0"/>
            </w:pPr>
            <w:r>
              <w:rPr>
                <w:sz w:val="17"/>
              </w:rPr>
              <w:t>cable_length_m</w:t>
            </w:r>
          </w:p>
        </w:tc>
        <w:tc>
          <w:tcPr>
            <w:tcW w:type="dxa" w:w="2304"/>
            <w:vAlign w:val="top"/>
            <w:tcMar>
              <w:top w:w="80" w:type="dxa"/>
              <w:start w:w="80" w:type="dxa"/>
              <w:bottom w:w="80" w:type="dxa"/>
              <w:end w:w="80" w:type="dxa"/>
            </w:tcMar>
          </w:tcPr>
          <w:p>
            <w:pPr>
              <w:spacing w:after="0"/>
            </w:pPr>
            <w:r>
              <w:rPr>
                <w:sz w:val="17"/>
              </w:rPr>
              <w:t>15–1,800 m</w:t>
            </w:r>
          </w:p>
        </w:tc>
        <w:tc>
          <w:tcPr>
            <w:tcW w:type="dxa" w:w="4320"/>
            <w:vAlign w:val="top"/>
            <w:tcMar>
              <w:top w:w="80" w:type="dxa"/>
              <w:start w:w="80" w:type="dxa"/>
              <w:bottom w:w="80" w:type="dxa"/>
              <w:end w:w="80" w:type="dxa"/>
            </w:tcMar>
          </w:tcPr>
          <w:p>
            <w:pPr>
              <w:spacing w:after="0"/>
            </w:pPr>
            <w:r>
              <w:rPr>
                <w:sz w:val="17"/>
              </w:rPr>
              <w:t>Mean 207.7; median 165.7</w:t>
            </w:r>
          </w:p>
        </w:tc>
      </w:tr>
      <w:tr>
        <w:trPr>
          <w:cantSplit/>
        </w:trPr>
        <w:tc>
          <w:tcPr>
            <w:tcW w:type="dxa" w:w="3312"/>
            <w:vAlign w:val="top"/>
            <w:tcMar>
              <w:top w:w="80" w:type="dxa"/>
              <w:start w:w="80" w:type="dxa"/>
              <w:bottom w:w="80" w:type="dxa"/>
              <w:end w:w="80" w:type="dxa"/>
            </w:tcMar>
            <w:shd w:fill="F7F9FB"/>
          </w:tcPr>
          <w:p>
            <w:pPr>
              <w:spacing w:after="0"/>
            </w:pPr>
            <w:r>
              <w:rPr>
                <w:sz w:val="17"/>
              </w:rPr>
              <w:t>joint_count</w:t>
            </w:r>
          </w:p>
        </w:tc>
        <w:tc>
          <w:tcPr>
            <w:tcW w:type="dxa" w:w="2304"/>
            <w:vAlign w:val="top"/>
            <w:tcMar>
              <w:top w:w="80" w:type="dxa"/>
              <w:start w:w="80" w:type="dxa"/>
              <w:bottom w:w="80" w:type="dxa"/>
              <w:end w:w="80" w:type="dxa"/>
            </w:tcMar>
            <w:shd w:fill="F7F9FB"/>
          </w:tcPr>
          <w:p>
            <w:pPr>
              <w:spacing w:after="0"/>
            </w:pPr>
            <w:r>
              <w:rPr>
                <w:sz w:val="17"/>
              </w:rPr>
              <w:t>0–9</w:t>
            </w:r>
          </w:p>
        </w:tc>
        <w:tc>
          <w:tcPr>
            <w:tcW w:type="dxa" w:w="4320"/>
            <w:vAlign w:val="top"/>
            <w:tcMar>
              <w:top w:w="80" w:type="dxa"/>
              <w:start w:w="80" w:type="dxa"/>
              <w:bottom w:w="80" w:type="dxa"/>
              <w:end w:w="80" w:type="dxa"/>
            </w:tcMar>
            <w:shd w:fill="F7F9FB"/>
          </w:tcPr>
          <w:p>
            <w:pPr>
              <w:spacing w:after="0"/>
            </w:pPr>
            <w:r>
              <w:rPr>
                <w:sz w:val="17"/>
              </w:rPr>
              <w:t>Mean 1.13; median 1</w:t>
            </w:r>
          </w:p>
        </w:tc>
      </w:tr>
      <w:tr>
        <w:trPr>
          <w:cantSplit/>
        </w:trPr>
        <w:tc>
          <w:tcPr>
            <w:tcW w:type="dxa" w:w="3312"/>
            <w:vAlign w:val="top"/>
            <w:tcMar>
              <w:top w:w="80" w:type="dxa"/>
              <w:start w:w="80" w:type="dxa"/>
              <w:bottom w:w="80" w:type="dxa"/>
              <w:end w:w="80" w:type="dxa"/>
            </w:tcMar>
          </w:tcPr>
          <w:p>
            <w:pPr>
              <w:spacing w:after="0"/>
            </w:pPr>
            <w:r>
              <w:rPr>
                <w:sz w:val="17"/>
              </w:rPr>
              <w:t>groundwater_depth_m</w:t>
            </w:r>
          </w:p>
        </w:tc>
        <w:tc>
          <w:tcPr>
            <w:tcW w:type="dxa" w:w="2304"/>
            <w:vAlign w:val="top"/>
            <w:tcMar>
              <w:top w:w="80" w:type="dxa"/>
              <w:start w:w="80" w:type="dxa"/>
              <w:bottom w:w="80" w:type="dxa"/>
              <w:end w:w="80" w:type="dxa"/>
            </w:tcMar>
          </w:tcPr>
          <w:p>
            <w:pPr>
              <w:spacing w:after="0"/>
            </w:pPr>
            <w:r>
              <w:rPr>
                <w:sz w:val="17"/>
              </w:rPr>
              <w:t>1.16–11.43 m</w:t>
            </w:r>
          </w:p>
        </w:tc>
        <w:tc>
          <w:tcPr>
            <w:tcW w:type="dxa" w:w="4320"/>
            <w:vAlign w:val="top"/>
            <w:tcMar>
              <w:top w:w="80" w:type="dxa"/>
              <w:start w:w="80" w:type="dxa"/>
              <w:bottom w:w="80" w:type="dxa"/>
              <w:end w:w="80" w:type="dxa"/>
            </w:tcMar>
          </w:tcPr>
          <w:p>
            <w:pPr>
              <w:spacing w:after="0"/>
            </w:pPr>
            <w:r>
              <w:rPr>
                <w:sz w:val="17"/>
              </w:rPr>
              <w:t>Mean 6.60; median 6.67</w:t>
            </w:r>
          </w:p>
        </w:tc>
      </w:tr>
      <w:tr>
        <w:trPr>
          <w:cantSplit/>
        </w:trPr>
        <w:tc>
          <w:tcPr>
            <w:tcW w:type="dxa" w:w="3312"/>
            <w:vAlign w:val="top"/>
            <w:tcMar>
              <w:top w:w="80" w:type="dxa"/>
              <w:start w:w="80" w:type="dxa"/>
              <w:bottom w:w="80" w:type="dxa"/>
              <w:end w:w="80" w:type="dxa"/>
            </w:tcMar>
            <w:shd w:fill="F7F9FB"/>
          </w:tcPr>
          <w:p>
            <w:pPr>
              <w:spacing w:after="0"/>
            </w:pPr>
            <w:r>
              <w:rPr>
                <w:sz w:val="17"/>
              </w:rPr>
              <w:t>groundwater_exposure_score</w:t>
            </w:r>
          </w:p>
        </w:tc>
        <w:tc>
          <w:tcPr>
            <w:tcW w:type="dxa" w:w="2304"/>
            <w:vAlign w:val="top"/>
            <w:tcMar>
              <w:top w:w="80" w:type="dxa"/>
              <w:start w:w="80" w:type="dxa"/>
              <w:bottom w:w="80" w:type="dxa"/>
              <w:end w:w="80" w:type="dxa"/>
            </w:tcMar>
            <w:shd w:fill="F7F9FB"/>
          </w:tcPr>
          <w:p>
            <w:pPr>
              <w:spacing w:after="0"/>
            </w:pPr>
            <w:r>
              <w:rPr>
                <w:sz w:val="17"/>
              </w:rPr>
              <w:t>0.240–0.943</w:t>
            </w:r>
          </w:p>
        </w:tc>
        <w:tc>
          <w:tcPr>
            <w:tcW w:type="dxa" w:w="4320"/>
            <w:vAlign w:val="top"/>
            <w:tcMar>
              <w:top w:w="80" w:type="dxa"/>
              <w:start w:w="80" w:type="dxa"/>
              <w:bottom w:w="80" w:type="dxa"/>
              <w:end w:w="80" w:type="dxa"/>
            </w:tcMar>
            <w:shd w:fill="F7F9FB"/>
          </w:tcPr>
          <w:p>
            <w:pPr>
              <w:spacing w:after="0"/>
            </w:pPr>
            <w:r>
              <w:rPr>
                <w:sz w:val="17"/>
              </w:rPr>
              <w:t>Mean 0.580</w:t>
            </w:r>
          </w:p>
        </w:tc>
      </w:tr>
      <w:tr>
        <w:trPr>
          <w:cantSplit/>
        </w:trPr>
        <w:tc>
          <w:tcPr>
            <w:tcW w:type="dxa" w:w="3312"/>
            <w:vAlign w:val="top"/>
            <w:tcMar>
              <w:top w:w="80" w:type="dxa"/>
              <w:start w:w="80" w:type="dxa"/>
              <w:bottom w:w="80" w:type="dxa"/>
              <w:end w:w="80" w:type="dxa"/>
            </w:tcMar>
          </w:tcPr>
          <w:p>
            <w:pPr>
              <w:spacing w:after="0"/>
            </w:pPr>
            <w:r>
              <w:rPr>
                <w:sz w:val="17"/>
              </w:rPr>
              <w:t>corrosion_exposure_score</w:t>
            </w:r>
          </w:p>
        </w:tc>
        <w:tc>
          <w:tcPr>
            <w:tcW w:type="dxa" w:w="2304"/>
            <w:vAlign w:val="top"/>
            <w:tcMar>
              <w:top w:w="80" w:type="dxa"/>
              <w:start w:w="80" w:type="dxa"/>
              <w:bottom w:w="80" w:type="dxa"/>
              <w:end w:w="80" w:type="dxa"/>
            </w:tcMar>
          </w:tcPr>
          <w:p>
            <w:pPr>
              <w:spacing w:after="0"/>
            </w:pPr>
            <w:r>
              <w:rPr>
                <w:sz w:val="17"/>
              </w:rPr>
              <w:t>0.121–0.984</w:t>
            </w:r>
          </w:p>
        </w:tc>
        <w:tc>
          <w:tcPr>
            <w:tcW w:type="dxa" w:w="4320"/>
            <w:vAlign w:val="top"/>
            <w:tcMar>
              <w:top w:w="80" w:type="dxa"/>
              <w:start w:w="80" w:type="dxa"/>
              <w:bottom w:w="80" w:type="dxa"/>
              <w:end w:w="80" w:type="dxa"/>
            </w:tcMar>
          </w:tcPr>
          <w:p>
            <w:pPr>
              <w:spacing w:after="0"/>
            </w:pPr>
            <w:r>
              <w:rPr>
                <w:sz w:val="17"/>
              </w:rPr>
              <w:t>Mean 0.557</w:t>
            </w:r>
          </w:p>
        </w:tc>
      </w:tr>
    </w:tbl>
    <w:p>
      <w:pPr>
        <w:spacing w:after="20"/>
      </w:pPr>
    </w:p>
    <w:tbl>
      <w:tblPr>
        <w:tblStyle w:val="TableGrid"/>
        <w:tblW w:type="auto" w:w="0"/>
        <w:jc w:val="center"/>
        <w:tblLook w:firstColumn="1" w:firstRow="1" w:lastColumn="0" w:lastRow="0" w:noHBand="0" w:noVBand="1" w:val="04A0"/>
      </w:tblPr>
      <w:tblGrid>
        <w:gridCol w:w="5162"/>
        <w:gridCol w:w="5162"/>
      </w:tblGrid>
      <w:tr>
        <w:trPr>
          <w:tblHeader w:val="true"/>
          <w:cantSplit/>
        </w:trPr>
        <w:tc>
          <w:tcPr>
            <w:tcW w:type="dxa" w:w="3312"/>
            <w:shd w:fill="17365D"/>
            <w:vAlign w:val="center"/>
            <w:tcMar>
              <w:top w:w="80" w:type="dxa"/>
              <w:start w:w="80" w:type="dxa"/>
              <w:bottom w:w="80" w:type="dxa"/>
              <w:end w:w="80" w:type="dxa"/>
            </w:tcMar>
          </w:tcPr>
          <w:p>
            <w:r>
              <w:rPr>
                <w:b/>
                <w:color w:val="FFFFFF"/>
                <w:sz w:val="16"/>
              </w:rPr>
              <w:t>Categorical field</w:t>
            </w:r>
          </w:p>
        </w:tc>
        <w:tc>
          <w:tcPr>
            <w:tcW w:type="dxa" w:w="6624"/>
            <w:shd w:fill="17365D"/>
            <w:vAlign w:val="center"/>
            <w:tcMar>
              <w:top w:w="80" w:type="dxa"/>
              <w:start w:w="80" w:type="dxa"/>
              <w:bottom w:w="80" w:type="dxa"/>
              <w:end w:w="80" w:type="dxa"/>
            </w:tcMar>
          </w:tcPr>
          <w:p>
            <w:r>
              <w:rPr>
                <w:b/>
                <w:color w:val="FFFFFF"/>
                <w:sz w:val="16"/>
              </w:rPr>
              <w:t>Observed distribution</w:t>
            </w:r>
          </w:p>
        </w:tc>
      </w:tr>
      <w:tr>
        <w:trPr>
          <w:cantSplit/>
        </w:trPr>
        <w:tc>
          <w:tcPr>
            <w:tcW w:type="dxa" w:w="3312"/>
            <w:vAlign w:val="top"/>
            <w:tcMar>
              <w:top w:w="80" w:type="dxa"/>
              <w:start w:w="80" w:type="dxa"/>
              <w:bottom w:w="80" w:type="dxa"/>
              <w:end w:w="80" w:type="dxa"/>
            </w:tcMar>
          </w:tcPr>
          <w:p>
            <w:pPr>
              <w:spacing w:after="0"/>
            </w:pPr>
            <w:r>
              <w:rPr>
                <w:sz w:val="16"/>
              </w:rPr>
              <w:t>rated_voltage_kv</w:t>
            </w:r>
          </w:p>
        </w:tc>
        <w:tc>
          <w:tcPr>
            <w:tcW w:type="dxa" w:w="6624"/>
            <w:vAlign w:val="top"/>
            <w:tcMar>
              <w:top w:w="80" w:type="dxa"/>
              <w:start w:w="80" w:type="dxa"/>
              <w:bottom w:w="80" w:type="dxa"/>
              <w:end w:w="80" w:type="dxa"/>
            </w:tcMar>
          </w:tcPr>
          <w:p>
            <w:pPr>
              <w:spacing w:after="0"/>
            </w:pPr>
            <w:r>
              <w:rPr>
                <w:sz w:val="16"/>
              </w:rPr>
              <w:t>11: 3,849 (77.0%); 33: 1,151 (23.0%)</w:t>
            </w:r>
          </w:p>
        </w:tc>
      </w:tr>
      <w:tr>
        <w:trPr>
          <w:cantSplit/>
        </w:trPr>
        <w:tc>
          <w:tcPr>
            <w:tcW w:type="dxa" w:w="3312"/>
            <w:vAlign w:val="top"/>
            <w:tcMar>
              <w:top w:w="80" w:type="dxa"/>
              <w:start w:w="80" w:type="dxa"/>
              <w:bottom w:w="80" w:type="dxa"/>
              <w:end w:w="80" w:type="dxa"/>
            </w:tcMar>
            <w:shd w:fill="F7F9FB"/>
          </w:tcPr>
          <w:p>
            <w:pPr>
              <w:spacing w:after="0"/>
            </w:pPr>
            <w:r>
              <w:rPr>
                <w:sz w:val="16"/>
              </w:rPr>
              <w:t>insulation_type</w:t>
            </w:r>
          </w:p>
        </w:tc>
        <w:tc>
          <w:tcPr>
            <w:tcW w:type="dxa" w:w="6624"/>
            <w:vAlign w:val="top"/>
            <w:tcMar>
              <w:top w:w="80" w:type="dxa"/>
              <w:start w:w="80" w:type="dxa"/>
              <w:bottom w:w="80" w:type="dxa"/>
              <w:end w:w="80" w:type="dxa"/>
            </w:tcMar>
            <w:shd w:fill="F7F9FB"/>
          </w:tcPr>
          <w:p>
            <w:pPr>
              <w:spacing w:after="0"/>
            </w:pPr>
            <w:r>
              <w:rPr>
                <w:sz w:val="16"/>
              </w:rPr>
              <w:t>XLPE: 3,720 (74.4%); PILC: 1,280 (25.6%)</w:t>
            </w:r>
          </w:p>
        </w:tc>
      </w:tr>
      <w:tr>
        <w:trPr>
          <w:cantSplit/>
        </w:trPr>
        <w:tc>
          <w:tcPr>
            <w:tcW w:type="dxa" w:w="3312"/>
            <w:vAlign w:val="top"/>
            <w:tcMar>
              <w:top w:w="80" w:type="dxa"/>
              <w:start w:w="80" w:type="dxa"/>
              <w:bottom w:w="80" w:type="dxa"/>
              <w:end w:w="80" w:type="dxa"/>
            </w:tcMar>
          </w:tcPr>
          <w:p>
            <w:pPr>
              <w:spacing w:after="0"/>
            </w:pPr>
            <w:r>
              <w:rPr>
                <w:sz w:val="16"/>
              </w:rPr>
              <w:t>conductor_material</w:t>
            </w:r>
          </w:p>
        </w:tc>
        <w:tc>
          <w:tcPr>
            <w:tcW w:type="dxa" w:w="6624"/>
            <w:vAlign w:val="top"/>
            <w:tcMar>
              <w:top w:w="80" w:type="dxa"/>
              <w:start w:w="80" w:type="dxa"/>
              <w:bottom w:w="80" w:type="dxa"/>
              <w:end w:w="80" w:type="dxa"/>
            </w:tcMar>
          </w:tcPr>
          <w:p>
            <w:pPr>
              <w:spacing w:after="0"/>
            </w:pPr>
            <w:r>
              <w:rPr>
                <w:sz w:val="16"/>
              </w:rPr>
              <w:t>Aluminium: 3,183 (63.7%); Copper: 1,817 (36.3%)</w:t>
            </w:r>
          </w:p>
        </w:tc>
      </w:tr>
      <w:tr>
        <w:trPr>
          <w:cantSplit/>
        </w:trPr>
        <w:tc>
          <w:tcPr>
            <w:tcW w:type="dxa" w:w="3312"/>
            <w:vAlign w:val="top"/>
            <w:tcMar>
              <w:top w:w="80" w:type="dxa"/>
              <w:start w:w="80" w:type="dxa"/>
              <w:bottom w:w="80" w:type="dxa"/>
              <w:end w:w="80" w:type="dxa"/>
            </w:tcMar>
            <w:shd w:fill="F7F9FB"/>
          </w:tcPr>
          <w:p>
            <w:pPr>
              <w:spacing w:after="0"/>
            </w:pPr>
            <w:r>
              <w:rPr>
                <w:sz w:val="16"/>
              </w:rPr>
              <w:t>core_count</w:t>
            </w:r>
          </w:p>
        </w:tc>
        <w:tc>
          <w:tcPr>
            <w:tcW w:type="dxa" w:w="6624"/>
            <w:vAlign w:val="top"/>
            <w:tcMar>
              <w:top w:w="80" w:type="dxa"/>
              <w:start w:w="80" w:type="dxa"/>
              <w:bottom w:w="80" w:type="dxa"/>
              <w:end w:w="80" w:type="dxa"/>
            </w:tcMar>
            <w:shd w:fill="F7F9FB"/>
          </w:tcPr>
          <w:p>
            <w:pPr>
              <w:spacing w:after="0"/>
            </w:pPr>
            <w:r>
              <w:rPr>
                <w:sz w:val="16"/>
              </w:rPr>
              <w:t>1: 3,077 (61.5%); 3: 1,923 (38.5%)</w:t>
            </w:r>
          </w:p>
        </w:tc>
      </w:tr>
      <w:tr>
        <w:trPr>
          <w:cantSplit/>
        </w:trPr>
        <w:tc>
          <w:tcPr>
            <w:tcW w:type="dxa" w:w="3312"/>
            <w:vAlign w:val="top"/>
            <w:tcMar>
              <w:top w:w="80" w:type="dxa"/>
              <w:start w:w="80" w:type="dxa"/>
              <w:bottom w:w="80" w:type="dxa"/>
              <w:end w:w="80" w:type="dxa"/>
            </w:tcMar>
          </w:tcPr>
          <w:p>
            <w:pPr>
              <w:spacing w:after="0"/>
            </w:pPr>
            <w:r>
              <w:rPr>
                <w:sz w:val="16"/>
              </w:rPr>
              <w:t>installation_method</w:t>
            </w:r>
          </w:p>
        </w:tc>
        <w:tc>
          <w:tcPr>
            <w:tcW w:type="dxa" w:w="6624"/>
            <w:vAlign w:val="top"/>
            <w:tcMar>
              <w:top w:w="80" w:type="dxa"/>
              <w:start w:w="80" w:type="dxa"/>
              <w:bottom w:w="80" w:type="dxa"/>
              <w:end w:w="80" w:type="dxa"/>
            </w:tcMar>
          </w:tcPr>
          <w:p>
            <w:pPr>
              <w:spacing w:after="0"/>
            </w:pPr>
            <w:r>
              <w:rPr>
                <w:sz w:val="16"/>
              </w:rPr>
              <w:t>Duct/Conduit: 3,833 (76.7%); Direct Buried: 1,167 (23.3%)</w:t>
            </w:r>
          </w:p>
        </w:tc>
      </w:tr>
      <w:tr>
        <w:trPr>
          <w:cantSplit/>
        </w:trPr>
        <w:tc>
          <w:tcPr>
            <w:tcW w:type="dxa" w:w="3312"/>
            <w:vAlign w:val="top"/>
            <w:tcMar>
              <w:top w:w="80" w:type="dxa"/>
              <w:start w:w="80" w:type="dxa"/>
              <w:bottom w:w="80" w:type="dxa"/>
              <w:end w:w="80" w:type="dxa"/>
            </w:tcMar>
            <w:shd w:fill="F7F9FB"/>
          </w:tcPr>
          <w:p>
            <w:pPr>
              <w:spacing w:after="0"/>
            </w:pPr>
            <w:r>
              <w:rPr>
                <w:sz w:val="16"/>
              </w:rPr>
              <w:t>groundwater_indicator</w:t>
            </w:r>
          </w:p>
        </w:tc>
        <w:tc>
          <w:tcPr>
            <w:tcW w:type="dxa" w:w="6624"/>
            <w:vAlign w:val="top"/>
            <w:tcMar>
              <w:top w:w="80" w:type="dxa"/>
              <w:start w:w="80" w:type="dxa"/>
              <w:bottom w:w="80" w:type="dxa"/>
              <w:end w:w="80" w:type="dxa"/>
            </w:tcMar>
            <w:shd w:fill="F7F9FB"/>
          </w:tcPr>
          <w:p>
            <w:pPr>
              <w:spacing w:after="0"/>
            </w:pPr>
            <w:r>
              <w:rPr>
                <w:sz w:val="16"/>
              </w:rPr>
              <w:t>Medium: 4,203 (84.1%); High: 624 (12.5%); Low: 173 (3.5%)</w:t>
            </w:r>
          </w:p>
        </w:tc>
      </w:tr>
      <w:tr>
        <w:trPr>
          <w:cantSplit/>
        </w:trPr>
        <w:tc>
          <w:tcPr>
            <w:tcW w:type="dxa" w:w="3312"/>
            <w:vAlign w:val="top"/>
            <w:tcMar>
              <w:top w:w="80" w:type="dxa"/>
              <w:start w:w="80" w:type="dxa"/>
              <w:bottom w:w="80" w:type="dxa"/>
              <w:end w:w="80" w:type="dxa"/>
            </w:tcMar>
          </w:tcPr>
          <w:p>
            <w:pPr>
              <w:spacing w:after="0"/>
            </w:pPr>
            <w:r>
              <w:rPr>
                <w:sz w:val="16"/>
              </w:rPr>
              <w:t>corrosion_indicator</w:t>
            </w:r>
          </w:p>
        </w:tc>
        <w:tc>
          <w:tcPr>
            <w:tcW w:type="dxa" w:w="6624"/>
            <w:vAlign w:val="top"/>
            <w:tcMar>
              <w:top w:w="80" w:type="dxa"/>
              <w:start w:w="80" w:type="dxa"/>
              <w:bottom w:w="80" w:type="dxa"/>
              <w:end w:w="80" w:type="dxa"/>
            </w:tcMar>
          </w:tcPr>
          <w:p>
            <w:pPr>
              <w:spacing w:after="0"/>
            </w:pPr>
            <w:r>
              <w:rPr>
                <w:sz w:val="16"/>
              </w:rPr>
              <w:t>Medium: 4,103 (82.1%); High: 495 (9.9%); Low: 402 (8.0%)</w:t>
            </w:r>
          </w:p>
        </w:tc>
      </w:tr>
    </w:tbl>
    <w:p>
      <w:pPr>
        <w:spacing w:after="20"/>
      </w:pPr>
    </w:p>
    <w:p>
      <w:pPr>
        <w:pStyle w:val="Heading1"/>
      </w:pPr>
      <w:r>
        <w:t>3. Observed construction relationships and assumptions</w:t>
      </w:r>
    </w:p>
    <w:tbl>
      <w:tblPr>
        <w:tblStyle w:val="TableGrid"/>
        <w:tblW w:type="auto" w:w="0"/>
        <w:jc w:val="center"/>
        <w:tblLook w:firstColumn="1" w:firstRow="1" w:lastColumn="0" w:lastRow="0" w:noHBand="0" w:noVBand="1" w:val="04A0"/>
      </w:tblPr>
      <w:tblGrid>
        <w:gridCol w:w="3442"/>
        <w:gridCol w:w="3442"/>
        <w:gridCol w:w="3442"/>
      </w:tblGrid>
      <w:tr>
        <w:trPr>
          <w:tblHeader w:val="true"/>
          <w:cantSplit/>
        </w:trPr>
        <w:tc>
          <w:tcPr>
            <w:tcW w:type="dxa" w:w="2376"/>
            <w:shd w:fill="17365D"/>
            <w:vAlign w:val="center"/>
            <w:tcMar>
              <w:top w:w="80" w:type="dxa"/>
              <w:start w:w="80" w:type="dxa"/>
              <w:bottom w:w="80" w:type="dxa"/>
              <w:end w:w="80" w:type="dxa"/>
            </w:tcMar>
          </w:tcPr>
          <w:p>
            <w:r>
              <w:rPr>
                <w:b/>
                <w:color w:val="FFFFFF"/>
                <w:sz w:val="15"/>
              </w:rPr>
              <w:t>Feature</w:t>
            </w:r>
          </w:p>
        </w:tc>
        <w:tc>
          <w:tcPr>
            <w:tcW w:type="dxa" w:w="2520"/>
            <w:shd w:fill="17365D"/>
            <w:vAlign w:val="center"/>
            <w:tcMar>
              <w:top w:w="80" w:type="dxa"/>
              <w:start w:w="80" w:type="dxa"/>
              <w:bottom w:w="80" w:type="dxa"/>
              <w:end w:w="80" w:type="dxa"/>
            </w:tcMar>
          </w:tcPr>
          <w:p>
            <w:r>
              <w:rPr>
                <w:b/>
                <w:color w:val="FFFFFF"/>
                <w:sz w:val="15"/>
              </w:rPr>
              <w:t>Interpretation</w:t>
            </w:r>
          </w:p>
        </w:tc>
        <w:tc>
          <w:tcPr>
            <w:tcW w:type="dxa" w:w="5184"/>
            <w:shd w:fill="17365D"/>
            <w:vAlign w:val="center"/>
            <w:tcMar>
              <w:top w:w="80" w:type="dxa"/>
              <w:start w:w="80" w:type="dxa"/>
              <w:bottom w:w="80" w:type="dxa"/>
              <w:end w:w="80" w:type="dxa"/>
            </w:tcMar>
          </w:tcPr>
          <w:p>
            <w:r>
              <w:rPr>
                <w:b/>
                <w:color w:val="FFFFFF"/>
                <w:sz w:val="15"/>
              </w:rPr>
              <w:t>Evidence from supplied file</w:t>
            </w:r>
          </w:p>
        </w:tc>
      </w:tr>
      <w:tr>
        <w:trPr>
          <w:cantSplit/>
        </w:trPr>
        <w:tc>
          <w:tcPr>
            <w:tcW w:type="dxa" w:w="2376"/>
            <w:vAlign w:val="top"/>
            <w:tcMar>
              <w:top w:w="80" w:type="dxa"/>
              <w:start w:w="80" w:type="dxa"/>
              <w:bottom w:w="80" w:type="dxa"/>
              <w:end w:w="80" w:type="dxa"/>
            </w:tcMar>
          </w:tcPr>
          <w:p>
            <w:pPr>
              <w:spacing w:after="0"/>
            </w:pPr>
            <w:r>
              <w:rPr>
                <w:sz w:val="15"/>
              </w:rPr>
              <w:t>Asset age</w:t>
            </w:r>
          </w:p>
        </w:tc>
        <w:tc>
          <w:tcPr>
            <w:tcW w:type="dxa" w:w="2520"/>
            <w:vAlign w:val="top"/>
            <w:tcMar>
              <w:top w:w="80" w:type="dxa"/>
              <w:start w:w="80" w:type="dxa"/>
              <w:bottom w:w="80" w:type="dxa"/>
              <w:end w:w="80" w:type="dxa"/>
            </w:tcMar>
          </w:tcPr>
          <w:p>
            <w:pPr>
              <w:spacing w:after="0"/>
            </w:pPr>
            <w:r>
              <w:rPr>
                <w:sz w:val="15"/>
              </w:rPr>
              <w:t>Exact derived field</w:t>
            </w:r>
          </w:p>
        </w:tc>
        <w:tc>
          <w:tcPr>
            <w:tcW w:type="dxa" w:w="5184"/>
            <w:vAlign w:val="top"/>
            <w:tcMar>
              <w:top w:w="80" w:type="dxa"/>
              <w:start w:w="80" w:type="dxa"/>
              <w:bottom w:w="80" w:type="dxa"/>
              <w:end w:w="80" w:type="dxa"/>
            </w:tcMar>
          </w:tcPr>
          <w:p>
            <w:pPr>
              <w:spacing w:after="0"/>
            </w:pPr>
            <w:r>
              <w:rPr>
                <w:sz w:val="15"/>
              </w:rPr>
              <w:t>asset_age_years = 2026 − installation_year for all 5,000 records. This implies a 2026 reference year in the synthetic design.</w:t>
            </w:r>
          </w:p>
        </w:tc>
      </w:tr>
      <w:tr>
        <w:trPr>
          <w:cantSplit/>
        </w:trPr>
        <w:tc>
          <w:tcPr>
            <w:tcW w:type="dxa" w:w="2376"/>
            <w:vAlign w:val="top"/>
            <w:tcMar>
              <w:top w:w="80" w:type="dxa"/>
              <w:start w:w="80" w:type="dxa"/>
              <w:bottom w:w="80" w:type="dxa"/>
              <w:end w:w="80" w:type="dxa"/>
            </w:tcMar>
            <w:shd w:fill="F7F9FB"/>
          </w:tcPr>
          <w:p>
            <w:pPr>
              <w:spacing w:after="0"/>
            </w:pPr>
            <w:r>
              <w:rPr>
                <w:sz w:val="15"/>
              </w:rPr>
              <w:t>Cable type text</w:t>
            </w:r>
          </w:p>
        </w:tc>
        <w:tc>
          <w:tcPr>
            <w:tcW w:type="dxa" w:w="2520"/>
            <w:vAlign w:val="top"/>
            <w:tcMar>
              <w:top w:w="80" w:type="dxa"/>
              <w:start w:w="80" w:type="dxa"/>
              <w:bottom w:w="80" w:type="dxa"/>
              <w:end w:w="80" w:type="dxa"/>
            </w:tcMar>
            <w:shd w:fill="F7F9FB"/>
          </w:tcPr>
          <w:p>
            <w:pPr>
              <w:spacing w:after="0"/>
            </w:pPr>
            <w:r>
              <w:rPr>
                <w:sz w:val="15"/>
              </w:rPr>
              <w:t>Composite raw field</w:t>
            </w:r>
          </w:p>
        </w:tc>
        <w:tc>
          <w:tcPr>
            <w:tcW w:type="dxa" w:w="5184"/>
            <w:vAlign w:val="top"/>
            <w:tcMar>
              <w:top w:w="80" w:type="dxa"/>
              <w:start w:w="80" w:type="dxa"/>
              <w:bottom w:w="80" w:type="dxa"/>
              <w:end w:w="80" w:type="dxa"/>
            </w:tcMar>
            <w:shd w:fill="F7F9FB"/>
          </w:tcPr>
          <w:p>
            <w:pPr>
              <w:spacing w:after="0"/>
            </w:pPr>
            <w:r>
              <w:rPr>
                <w:sz w:val="15"/>
              </w:rPr>
              <w:t>cable_type_raw encodes conductor size, core count, conductor material, insulation type and voltage consistently in all rows checked.</w:t>
            </w:r>
          </w:p>
        </w:tc>
      </w:tr>
      <w:tr>
        <w:trPr>
          <w:cantSplit/>
        </w:trPr>
        <w:tc>
          <w:tcPr>
            <w:tcW w:type="dxa" w:w="2376"/>
            <w:vAlign w:val="top"/>
            <w:tcMar>
              <w:top w:w="80" w:type="dxa"/>
              <w:start w:w="80" w:type="dxa"/>
              <w:bottom w:w="80" w:type="dxa"/>
              <w:end w:w="80" w:type="dxa"/>
            </w:tcMar>
          </w:tcPr>
          <w:p>
            <w:pPr>
              <w:spacing w:after="0"/>
            </w:pPr>
            <w:r>
              <w:rPr>
                <w:sz w:val="15"/>
              </w:rPr>
              <w:t>Coordinates and route</w:t>
            </w:r>
          </w:p>
        </w:tc>
        <w:tc>
          <w:tcPr>
            <w:tcW w:type="dxa" w:w="2520"/>
            <w:vAlign w:val="top"/>
            <w:tcMar>
              <w:top w:w="80" w:type="dxa"/>
              <w:start w:w="80" w:type="dxa"/>
              <w:bottom w:w="80" w:type="dxa"/>
              <w:end w:w="80" w:type="dxa"/>
            </w:tcMar>
          </w:tcPr>
          <w:p>
            <w:pPr>
              <w:spacing w:after="0"/>
            </w:pPr>
            <w:r>
              <w:rPr>
                <w:sz w:val="15"/>
              </w:rPr>
              <w:t>Derived spatial representation</w:t>
            </w:r>
          </w:p>
        </w:tc>
        <w:tc>
          <w:tcPr>
            <w:tcW w:type="dxa" w:w="5184"/>
            <w:vAlign w:val="top"/>
            <w:tcMar>
              <w:top w:w="80" w:type="dxa"/>
              <w:start w:w="80" w:type="dxa"/>
              <w:bottom w:w="80" w:type="dxa"/>
              <w:end w:w="80" w:type="dxa"/>
            </w:tcMar>
          </w:tcPr>
          <w:p>
            <w:pPr>
              <w:spacing w:after="0"/>
            </w:pPr>
            <w:r>
              <w:rPr>
                <w:sz w:val="15"/>
              </w:rPr>
              <w:t>latitude/longitude match the midpoint of route_geometry_wkt to within about 5.0e-07 degrees.</w:t>
            </w:r>
          </w:p>
        </w:tc>
      </w:tr>
      <w:tr>
        <w:trPr>
          <w:cantSplit/>
        </w:trPr>
        <w:tc>
          <w:tcPr>
            <w:tcW w:type="dxa" w:w="2376"/>
            <w:vAlign w:val="top"/>
            <w:tcMar>
              <w:top w:w="80" w:type="dxa"/>
              <w:start w:w="80" w:type="dxa"/>
              <w:bottom w:w="80" w:type="dxa"/>
              <w:end w:w="80" w:type="dxa"/>
            </w:tcMar>
            <w:shd w:fill="F7F9FB"/>
          </w:tcPr>
          <w:p>
            <w:pPr>
              <w:spacing w:after="0"/>
            </w:pPr>
            <w:r>
              <w:rPr>
                <w:sz w:val="15"/>
              </w:rPr>
              <w:t>Groundwater indicator</w:t>
            </w:r>
          </w:p>
        </w:tc>
        <w:tc>
          <w:tcPr>
            <w:tcW w:type="dxa" w:w="2520"/>
            <w:vAlign w:val="top"/>
            <w:tcMar>
              <w:top w:w="80" w:type="dxa"/>
              <w:start w:w="80" w:type="dxa"/>
              <w:bottom w:w="80" w:type="dxa"/>
              <w:end w:w="80" w:type="dxa"/>
            </w:tcMar>
            <w:shd w:fill="F7F9FB"/>
          </w:tcPr>
          <w:p>
            <w:pPr>
              <w:spacing w:after="0"/>
            </w:pPr>
            <w:r>
              <w:rPr>
                <w:sz w:val="15"/>
              </w:rPr>
              <w:t>Categorised derived field</w:t>
            </w:r>
          </w:p>
        </w:tc>
        <w:tc>
          <w:tcPr>
            <w:tcW w:type="dxa" w:w="5184"/>
            <w:vAlign w:val="top"/>
            <w:tcMar>
              <w:top w:w="80" w:type="dxa"/>
              <w:start w:w="80" w:type="dxa"/>
              <w:bottom w:w="80" w:type="dxa"/>
              <w:end w:w="80" w:type="dxa"/>
            </w:tcMar>
            <w:shd w:fill="F7F9FB"/>
          </w:tcPr>
          <w:p>
            <w:pPr>
              <w:spacing w:after="0"/>
            </w:pPr>
            <w:r>
              <w:rPr>
                <w:sz w:val="15"/>
              </w:rPr>
              <w:t>Low/Medium/High tracks groundwater_exposure_score, with observed category transitions around scores 0.4 and 0.7. Exact thresholds cannot be proven from rounded values alone.</w:t>
            </w:r>
          </w:p>
        </w:tc>
      </w:tr>
      <w:tr>
        <w:trPr>
          <w:cantSplit/>
        </w:trPr>
        <w:tc>
          <w:tcPr>
            <w:tcW w:type="dxa" w:w="2376"/>
            <w:vAlign w:val="top"/>
            <w:tcMar>
              <w:top w:w="80" w:type="dxa"/>
              <w:start w:w="80" w:type="dxa"/>
              <w:bottom w:w="80" w:type="dxa"/>
              <w:end w:w="80" w:type="dxa"/>
            </w:tcMar>
          </w:tcPr>
          <w:p>
            <w:pPr>
              <w:spacing w:after="0"/>
            </w:pPr>
            <w:r>
              <w:rPr>
                <w:sz w:val="15"/>
              </w:rPr>
              <w:t>Corrosion indicator</w:t>
            </w:r>
          </w:p>
        </w:tc>
        <w:tc>
          <w:tcPr>
            <w:tcW w:type="dxa" w:w="2520"/>
            <w:vAlign w:val="top"/>
            <w:tcMar>
              <w:top w:w="80" w:type="dxa"/>
              <w:start w:w="80" w:type="dxa"/>
              <w:bottom w:w="80" w:type="dxa"/>
              <w:end w:w="80" w:type="dxa"/>
            </w:tcMar>
          </w:tcPr>
          <w:p>
            <w:pPr>
              <w:spacing w:after="0"/>
            </w:pPr>
            <w:r>
              <w:rPr>
                <w:sz w:val="15"/>
              </w:rPr>
              <w:t>Categorised derived field</w:t>
            </w:r>
          </w:p>
        </w:tc>
        <w:tc>
          <w:tcPr>
            <w:tcW w:type="dxa" w:w="5184"/>
            <w:vAlign w:val="top"/>
            <w:tcMar>
              <w:top w:w="80" w:type="dxa"/>
              <w:start w:w="80" w:type="dxa"/>
              <w:bottom w:w="80" w:type="dxa"/>
              <w:end w:w="80" w:type="dxa"/>
            </w:tcMar>
          </w:tcPr>
          <w:p>
            <w:pPr>
              <w:spacing w:after="0"/>
            </w:pPr>
            <w:r>
              <w:rPr>
                <w:sz w:val="15"/>
              </w:rPr>
              <w:t>Low/Medium/High tracks corrosion_exposure_score, again with observed transitions around 0.4 and 0.7.</w:t>
            </w:r>
          </w:p>
        </w:tc>
      </w:tr>
      <w:tr>
        <w:trPr>
          <w:cantSplit/>
        </w:trPr>
        <w:tc>
          <w:tcPr>
            <w:tcW w:type="dxa" w:w="2376"/>
            <w:vAlign w:val="top"/>
            <w:tcMar>
              <w:top w:w="80" w:type="dxa"/>
              <w:start w:w="80" w:type="dxa"/>
              <w:bottom w:w="80" w:type="dxa"/>
              <w:end w:w="80" w:type="dxa"/>
            </w:tcMar>
            <w:shd w:fill="F7F9FB"/>
          </w:tcPr>
          <w:p>
            <w:pPr>
              <w:spacing w:after="0"/>
            </w:pPr>
            <w:r>
              <w:rPr>
                <w:sz w:val="15"/>
              </w:rPr>
              <w:t>Groundwater exposure</w:t>
            </w:r>
          </w:p>
        </w:tc>
        <w:tc>
          <w:tcPr>
            <w:tcW w:type="dxa" w:w="2520"/>
            <w:vAlign w:val="top"/>
            <w:tcMar>
              <w:top w:w="80" w:type="dxa"/>
              <w:start w:w="80" w:type="dxa"/>
              <w:bottom w:w="80" w:type="dxa"/>
              <w:end w:w="80" w:type="dxa"/>
            </w:tcMar>
            <w:shd w:fill="F7F9FB"/>
          </w:tcPr>
          <w:p>
            <w:pPr>
              <w:spacing w:after="0"/>
            </w:pPr>
            <w:r>
              <w:rPr>
                <w:sz w:val="15"/>
              </w:rPr>
              <w:t>Synthetic relationship</w:t>
            </w:r>
          </w:p>
        </w:tc>
        <w:tc>
          <w:tcPr>
            <w:tcW w:type="dxa" w:w="5184"/>
            <w:vAlign w:val="top"/>
            <w:tcMar>
              <w:top w:w="80" w:type="dxa"/>
              <w:start w:w="80" w:type="dxa"/>
              <w:bottom w:w="80" w:type="dxa"/>
              <w:end w:w="80" w:type="dxa"/>
            </w:tcMar>
            <w:shd w:fill="F7F9FB"/>
          </w:tcPr>
          <w:p>
            <w:pPr>
              <w:spacing w:after="0"/>
            </w:pPr>
            <w:r>
              <w:rPr>
                <w:sz w:val="15"/>
              </w:rPr>
              <w:t>groundwater_depth_m is strongly inversely related to groundwater_exposure_score (r = -0.900).</w:t>
            </w:r>
          </w:p>
        </w:tc>
      </w:tr>
      <w:tr>
        <w:trPr>
          <w:cantSplit/>
        </w:trPr>
        <w:tc>
          <w:tcPr>
            <w:tcW w:type="dxa" w:w="2376"/>
            <w:vAlign w:val="top"/>
            <w:tcMar>
              <w:top w:w="80" w:type="dxa"/>
              <w:start w:w="80" w:type="dxa"/>
              <w:bottom w:w="80" w:type="dxa"/>
              <w:end w:w="80" w:type="dxa"/>
            </w:tcMar>
          </w:tcPr>
          <w:p>
            <w:pPr>
              <w:spacing w:after="0"/>
            </w:pPr>
            <w:r>
              <w:rPr>
                <w:sz w:val="15"/>
              </w:rPr>
              <w:t>Corrosion exposure</w:t>
            </w:r>
          </w:p>
        </w:tc>
        <w:tc>
          <w:tcPr>
            <w:tcW w:type="dxa" w:w="2520"/>
            <w:vAlign w:val="top"/>
            <w:tcMar>
              <w:top w:w="80" w:type="dxa"/>
              <w:start w:w="80" w:type="dxa"/>
              <w:bottom w:w="80" w:type="dxa"/>
              <w:end w:w="80" w:type="dxa"/>
            </w:tcMar>
          </w:tcPr>
          <w:p>
            <w:pPr>
              <w:spacing w:after="0"/>
            </w:pPr>
            <w:r>
              <w:rPr>
                <w:sz w:val="15"/>
              </w:rPr>
              <w:t>Synthetic relationship</w:t>
            </w:r>
          </w:p>
        </w:tc>
        <w:tc>
          <w:tcPr>
            <w:tcW w:type="dxa" w:w="5184"/>
            <w:vAlign w:val="top"/>
            <w:tcMar>
              <w:top w:w="80" w:type="dxa"/>
              <w:start w:w="80" w:type="dxa"/>
              <w:bottom w:w="80" w:type="dxa"/>
              <w:end w:w="80" w:type="dxa"/>
            </w:tcMar>
          </w:tcPr>
          <w:p>
            <w:pPr>
              <w:spacing w:after="0"/>
            </w:pPr>
            <w:r>
              <w:rPr>
                <w:sz w:val="15"/>
              </w:rPr>
              <w:t>corrosion_exposure_score is positively related to groundwater_exposure_score (r = 0.673); installation method also changes the average corrosion score.</w:t>
            </w:r>
          </w:p>
        </w:tc>
      </w:tr>
    </w:tbl>
    <w:p>
      <w:pPr>
        <w:spacing w:after="20"/>
      </w:pPr>
    </w:p>
    <w:p>
      <w:pPr>
        <w:pStyle w:val="Heading1"/>
      </w:pPr>
      <w:r>
        <w:t>4. How the dataset should be interpreted</w:t>
      </w:r>
    </w:p>
    <w:p>
      <w:pPr>
        <w:pStyle w:val="ListBullet"/>
        <w:ind w:left="0"/>
      </w:pPr>
      <w:r>
        <w:rPr>
          <w:b/>
        </w:rPr>
        <w:t xml:space="preserve">Known reference, not production truth: </w:t>
      </w:r>
      <w:r>
        <w:t>The file is suitable for testing pipeline logic because the original values are complete and known. Results should not be presented as actual SAPN performance.</w:t>
      </w:r>
    </w:p>
    <w:p>
      <w:pPr>
        <w:pStyle w:val="ListBullet"/>
        <w:ind w:left="0"/>
      </w:pPr>
      <w:r>
        <w:rPr>
          <w:b/>
        </w:rPr>
        <w:t xml:space="preserve">Derived fields require deterministic rules first: </w:t>
      </w:r>
      <w:r>
        <w:t>When a credible source variable exists, use derivation before statistical imputation. Examples are age from installation year and categorical indicators from exposure scores.</w:t>
      </w:r>
    </w:p>
    <w:p>
      <w:pPr>
        <w:pStyle w:val="ListBullet"/>
        <w:ind w:left="0"/>
      </w:pPr>
      <w:r>
        <w:rPr>
          <w:b/>
        </w:rPr>
        <w:t xml:space="preserve">Predictor leakage must be controlled: </w:t>
      </w:r>
      <w:r>
        <w:t>A test is invalid if the target can be exactly reconstructed from a duplicate/parent field that was left unmasked.</w:t>
      </w:r>
    </w:p>
    <w:p>
      <w:pPr>
        <w:pStyle w:val="ListBullet"/>
        <w:ind w:left="0"/>
      </w:pPr>
      <w:r>
        <w:rPr>
          <w:b/>
        </w:rPr>
        <w:t xml:space="preserve">Asset-level rows are mostly static: </w:t>
      </w:r>
      <w:r>
        <w:t>The dataset is an asset-register-style snapshot, not a time-series dataset.</w:t>
      </w:r>
    </w:p>
    <w:p>
      <w:pPr>
        <w:pStyle w:val="ListBullet"/>
        <w:ind w:left="0"/>
      </w:pPr>
      <w:r>
        <w:rPr>
          <w:b/>
        </w:rPr>
        <w:t xml:space="preserve">No direct failure outcome is present: </w:t>
      </w:r>
      <w:r>
        <w:t>The current file contains no failure date/status or observed PoF target. It can test field reconstruction, but downstream Weibull/PoF impact will require a separate synthetic failure outcome, a proxy risk calculation, or later SAPN data.</w:t>
      </w:r>
    </w:p>
    <w:p>
      <w:pPr>
        <w:pStyle w:val="Heading1"/>
      </w:pPr>
      <w:r>
        <w:t>5. Proposed controlled missingness design</w:t>
      </w:r>
    </w:p>
    <w:tbl>
      <w:tblPr>
        <w:tblStyle w:val="TableGrid"/>
        <w:tblW w:type="auto" w:w="0"/>
        <w:jc w:val="center"/>
        <w:tblLook w:firstColumn="1" w:firstRow="1" w:lastColumn="0" w:lastRow="0" w:noHBand="0" w:noVBand="1" w:val="04A0"/>
      </w:tblPr>
      <w:tblGrid>
        <w:gridCol w:w="3442"/>
        <w:gridCol w:w="3442"/>
        <w:gridCol w:w="3442"/>
      </w:tblGrid>
      <w:tr>
        <w:trPr>
          <w:tblHeader w:val="true"/>
          <w:cantSplit/>
        </w:trPr>
        <w:tc>
          <w:tcPr>
            <w:tcW w:type="dxa" w:w="2376"/>
            <w:shd w:fill="17365D"/>
            <w:vAlign w:val="center"/>
            <w:tcMar>
              <w:top w:w="80" w:type="dxa"/>
              <w:start w:w="80" w:type="dxa"/>
              <w:bottom w:w="80" w:type="dxa"/>
              <w:end w:w="80" w:type="dxa"/>
            </w:tcMar>
          </w:tcPr>
          <w:p>
            <w:r>
              <w:rPr>
                <w:b/>
                <w:color w:val="FFFFFF"/>
                <w:sz w:val="15"/>
              </w:rPr>
              <w:t>Priority target</w:t>
            </w:r>
          </w:p>
        </w:tc>
        <w:tc>
          <w:tcPr>
            <w:tcW w:type="dxa" w:w="5112"/>
            <w:shd w:fill="17365D"/>
            <w:vAlign w:val="center"/>
            <w:tcMar>
              <w:top w:w="80" w:type="dxa"/>
              <w:start w:w="80" w:type="dxa"/>
              <w:bottom w:w="80" w:type="dxa"/>
              <w:end w:w="80" w:type="dxa"/>
            </w:tcMar>
          </w:tcPr>
          <w:p>
            <w:r>
              <w:rPr>
                <w:b/>
                <w:color w:val="FFFFFF"/>
                <w:sz w:val="15"/>
              </w:rPr>
              <w:t>Masking rule</w:t>
            </w:r>
          </w:p>
        </w:tc>
        <w:tc>
          <w:tcPr>
            <w:tcW w:type="dxa" w:w="2880"/>
            <w:shd w:fill="17365D"/>
            <w:vAlign w:val="center"/>
            <w:tcMar>
              <w:top w:w="80" w:type="dxa"/>
              <w:start w:w="80" w:type="dxa"/>
              <w:bottom w:w="80" w:type="dxa"/>
              <w:end w:w="80" w:type="dxa"/>
            </w:tcMar>
          </w:tcPr>
          <w:p>
            <w:r>
              <w:rPr>
                <w:b/>
                <w:color w:val="FFFFFF"/>
                <w:sz w:val="15"/>
              </w:rPr>
              <w:t>Validation</w:t>
            </w:r>
          </w:p>
        </w:tc>
      </w:tr>
      <w:tr>
        <w:trPr>
          <w:cantSplit/>
        </w:trPr>
        <w:tc>
          <w:tcPr>
            <w:tcW w:type="dxa" w:w="2376"/>
            <w:vAlign w:val="top"/>
            <w:tcMar>
              <w:top w:w="80" w:type="dxa"/>
              <w:start w:w="80" w:type="dxa"/>
              <w:bottom w:w="80" w:type="dxa"/>
              <w:end w:w="80" w:type="dxa"/>
            </w:tcMar>
          </w:tcPr>
          <w:p>
            <w:pPr>
              <w:spacing w:after="0"/>
            </w:pPr>
            <w:r>
              <w:rPr>
                <w:sz w:val="15"/>
              </w:rPr>
              <w:t>asset_age_years</w:t>
            </w:r>
          </w:p>
        </w:tc>
        <w:tc>
          <w:tcPr>
            <w:tcW w:type="dxa" w:w="5112"/>
            <w:vAlign w:val="top"/>
            <w:tcMar>
              <w:top w:w="80" w:type="dxa"/>
              <w:start w:w="80" w:type="dxa"/>
              <w:bottom w:w="80" w:type="dxa"/>
              <w:end w:w="80" w:type="dxa"/>
            </w:tcMar>
          </w:tcPr>
          <w:p>
            <w:pPr>
              <w:spacing w:after="0"/>
            </w:pPr>
            <w:r>
              <w:rPr>
                <w:sz w:val="15"/>
              </w:rPr>
              <w:t>Mask asset_age_years and, for a genuine imputation experiment, also mask installation_year for the same rows. Keep an alternative “derivation test” where installation_year remains visible and age is reconstructed deterministically.</w:t>
            </w:r>
          </w:p>
        </w:tc>
        <w:tc>
          <w:tcPr>
            <w:tcW w:type="dxa" w:w="2880"/>
            <w:vAlign w:val="top"/>
            <w:tcMar>
              <w:top w:w="80" w:type="dxa"/>
              <w:start w:w="80" w:type="dxa"/>
              <w:bottom w:w="80" w:type="dxa"/>
              <w:end w:w="80" w:type="dxa"/>
            </w:tcMar>
          </w:tcPr>
          <w:p>
            <w:pPr>
              <w:spacing w:after="0"/>
            </w:pPr>
            <w:r>
              <w:rPr>
                <w:sz w:val="15"/>
              </w:rPr>
              <w:t>Numeric metrics: MAE, RMSE; distribution checks; age-band movement.</w:t>
            </w:r>
          </w:p>
        </w:tc>
      </w:tr>
      <w:tr>
        <w:trPr>
          <w:cantSplit/>
        </w:trPr>
        <w:tc>
          <w:tcPr>
            <w:tcW w:type="dxa" w:w="2376"/>
            <w:vAlign w:val="top"/>
            <w:tcMar>
              <w:top w:w="80" w:type="dxa"/>
              <w:start w:w="80" w:type="dxa"/>
              <w:bottom w:w="80" w:type="dxa"/>
              <w:end w:w="80" w:type="dxa"/>
            </w:tcMar>
            <w:shd w:fill="F7F9FB"/>
          </w:tcPr>
          <w:p>
            <w:pPr>
              <w:spacing w:after="0"/>
            </w:pPr>
            <w:r>
              <w:rPr>
                <w:sz w:val="15"/>
              </w:rPr>
              <w:t>groundwater_indicator</w:t>
            </w:r>
          </w:p>
        </w:tc>
        <w:tc>
          <w:tcPr>
            <w:tcW w:type="dxa" w:w="5112"/>
            <w:vAlign w:val="top"/>
            <w:tcMar>
              <w:top w:w="80" w:type="dxa"/>
              <w:start w:w="80" w:type="dxa"/>
              <w:bottom w:w="80" w:type="dxa"/>
              <w:end w:w="80" w:type="dxa"/>
            </w:tcMar>
            <w:shd w:fill="F7F9FB"/>
          </w:tcPr>
          <w:p>
            <w:pPr>
              <w:spacing w:after="0"/>
            </w:pPr>
            <w:r>
              <w:rPr>
                <w:sz w:val="15"/>
              </w:rPr>
              <w:t>Mask groundwater_indicator and groundwater_exposure_score together when testing imputation. Use groundwater_depth_m, latitude/longitude, installation_method and engineering fields as predictors.</w:t>
            </w:r>
          </w:p>
        </w:tc>
        <w:tc>
          <w:tcPr>
            <w:tcW w:type="dxa" w:w="2880"/>
            <w:vAlign w:val="top"/>
            <w:tcMar>
              <w:top w:w="80" w:type="dxa"/>
              <w:start w:w="80" w:type="dxa"/>
              <w:bottom w:w="80" w:type="dxa"/>
              <w:end w:w="80" w:type="dxa"/>
            </w:tcMar>
            <w:shd w:fill="F7F9FB"/>
          </w:tcPr>
          <w:p>
            <w:pPr>
              <w:spacing w:after="0"/>
            </w:pPr>
            <w:r>
              <w:rPr>
                <w:sz w:val="15"/>
              </w:rPr>
              <w:t>Categorical metrics: accuracy/F1; confusion matrix; class-distribution stability.</w:t>
            </w:r>
          </w:p>
        </w:tc>
      </w:tr>
      <w:tr>
        <w:trPr>
          <w:cantSplit/>
        </w:trPr>
        <w:tc>
          <w:tcPr>
            <w:tcW w:type="dxa" w:w="2376"/>
            <w:vAlign w:val="top"/>
            <w:tcMar>
              <w:top w:w="80" w:type="dxa"/>
              <w:start w:w="80" w:type="dxa"/>
              <w:bottom w:w="80" w:type="dxa"/>
              <w:end w:w="80" w:type="dxa"/>
            </w:tcMar>
          </w:tcPr>
          <w:p>
            <w:pPr>
              <w:spacing w:after="0"/>
            </w:pPr>
            <w:r>
              <w:rPr>
                <w:sz w:val="15"/>
              </w:rPr>
              <w:t>corrosion_indicator</w:t>
            </w:r>
          </w:p>
        </w:tc>
        <w:tc>
          <w:tcPr>
            <w:tcW w:type="dxa" w:w="5112"/>
            <w:vAlign w:val="top"/>
            <w:tcMar>
              <w:top w:w="80" w:type="dxa"/>
              <w:start w:w="80" w:type="dxa"/>
              <w:bottom w:w="80" w:type="dxa"/>
              <w:end w:w="80" w:type="dxa"/>
            </w:tcMar>
          </w:tcPr>
          <w:p>
            <w:pPr>
              <w:spacing w:after="0"/>
            </w:pPr>
            <w:r>
              <w:rPr>
                <w:sz w:val="15"/>
              </w:rPr>
              <w:t>Mask corrosion_indicator and corrosion_exposure_score together when testing imputation. Use groundwater fields, installation_method, location and engineering attributes.</w:t>
            </w:r>
          </w:p>
        </w:tc>
        <w:tc>
          <w:tcPr>
            <w:tcW w:type="dxa" w:w="2880"/>
            <w:vAlign w:val="top"/>
            <w:tcMar>
              <w:top w:w="80" w:type="dxa"/>
              <w:start w:w="80" w:type="dxa"/>
              <w:bottom w:w="80" w:type="dxa"/>
              <w:end w:w="80" w:type="dxa"/>
            </w:tcMar>
          </w:tcPr>
          <w:p>
            <w:pPr>
              <w:spacing w:after="0"/>
            </w:pPr>
            <w:r>
              <w:rPr>
                <w:sz w:val="15"/>
              </w:rPr>
              <w:t>Categorical metrics: accuracy/F1; confusion matrix; class-distribution stability.</w:t>
            </w:r>
          </w:p>
        </w:tc>
      </w:tr>
    </w:tbl>
    <w:p>
      <w:pPr>
        <w:spacing w:after="20"/>
      </w:pPr>
    </w:p>
    <w:p>
      <w:r>
        <w:rPr>
          <w:b/>
        </w:rPr>
        <w:t xml:space="preserve">Recommended masking scenarios: </w:t>
      </w:r>
      <w:r>
        <w:t>start with controlled 10%, 20% and 30% missingness versions. Use an MCAR-style random mask first for method benchmarking, then add structured masks that depend on observable groups (for example feeder, age band or installation method) to test sensitivity. Clearly label every generated file and preserve the same random seed/version metadata.</w:t>
      </w:r>
    </w:p>
    <w:p>
      <w:pPr>
        <w:pStyle w:val="Heading1"/>
      </w:pPr>
      <w:r>
        <w:t>6. Key limitations of this synthetic reference</w:t>
      </w:r>
    </w:p>
    <w:p>
      <w:pPr>
        <w:pStyle w:val="ListBullet"/>
        <w:ind w:left="0"/>
      </w:pPr>
      <w:r>
        <w:t>The dataset is fully complete, so it does not reveal the real missingness mechanisms expected in SAPN data.</w:t>
      </w:r>
    </w:p>
    <w:p>
      <w:pPr>
        <w:pStyle w:val="ListBullet"/>
        <w:ind w:left="0"/>
      </w:pPr>
      <w:r>
        <w:t>Several relationships are deterministic or unusually clean, which can make imputation look easier than it will be on real asset records.</w:t>
      </w:r>
    </w:p>
    <w:p>
      <w:pPr>
        <w:pStyle w:val="ListBullet"/>
        <w:ind w:left="0"/>
      </w:pPr>
      <w:r>
        <w:t>High-cardinality spatial/text fields can leak information or cause overfitting if used without careful preprocessing.</w:t>
      </w:r>
    </w:p>
    <w:p>
      <w:pPr>
        <w:pStyle w:val="ListBullet"/>
        <w:ind w:left="0"/>
      </w:pPr>
      <w:r>
        <w:t>Indicator boundaries are inferred from rounded displayed scores; exact synthetic-generation thresholds are not available in the CSV itself.</w:t>
      </w:r>
    </w:p>
    <w:p>
      <w:pPr>
        <w:pStyle w:val="ListBullet"/>
        <w:ind w:left="0"/>
      </w:pPr>
      <w:r>
        <w:t>The categorical variety is limited (for example two voltage levels, two insulation types and two installation methods), so the data may not reflect the full SAPN fleet.</w:t>
      </w:r>
    </w:p>
    <w:p>
      <w:pPr>
        <w:pStyle w:val="ListBullet"/>
        <w:ind w:left="0"/>
      </w:pPr>
      <w:r>
        <w:t>There is no failure history/outcome field, so this file alone cannot validate Weibull parameters or real PoF predictions.</w:t>
      </w:r>
    </w:p>
    <w:p>
      <w:pPr>
        <w:pStyle w:val="ListBullet"/>
        <w:ind w:left="0"/>
      </w:pPr>
      <w:r>
        <w:t>External environmental values are synthetic/constructed for method testing and should not be interpreted as measured site conditions.</w:t>
      </w:r>
    </w:p>
    <w:p>
      <w:pPr>
        <w:pStyle w:val="Heading1"/>
      </w:pPr>
      <w:r>
        <w:t>7. Version-control and audit rules</w:t>
      </w:r>
    </w:p>
    <w:p>
      <w:pPr>
        <w:pStyle w:val="ListBullet"/>
        <w:ind w:left="0"/>
      </w:pPr>
      <w:r>
        <w:t>Keep UC-S2-03_Underground_Cable_Complete_Reference_v1.csv read-only as the known truth set.</w:t>
      </w:r>
    </w:p>
    <w:p>
      <w:pPr>
        <w:pStyle w:val="ListBullet"/>
        <w:ind w:left="0"/>
      </w:pPr>
      <w:r>
        <w:t>Create separate masked files for each target, missingness level and missingness mechanism.</w:t>
      </w:r>
    </w:p>
    <w:p>
      <w:pPr>
        <w:pStyle w:val="ListBullet"/>
        <w:ind w:left="0"/>
      </w:pPr>
      <w:r>
        <w:t>Record random seed, masking rule, target field, fields intentionally co-masked and date/version for every experiment.</w:t>
      </w:r>
    </w:p>
    <w:p>
      <w:pPr>
        <w:pStyle w:val="ListBullet"/>
        <w:ind w:left="0"/>
      </w:pPr>
      <w:r>
        <w:t>Never overwrite observed reference values with imputed values; export imputed values and a value-status/confidence field separately.</w:t>
      </w:r>
    </w:p>
    <w:p>
      <w:pPr>
        <w:pStyle w:val="ListBullet"/>
        <w:ind w:left="0"/>
      </w:pPr>
      <w:r>
        <w:t>When real SAPN data becomes available, repeat profiling and do not assume these synthetic distributions or relationships hold.</w:t>
      </w:r>
    </w:p>
    <w:tbl>
      <w:tblPr>
        <w:tblW w:type="auto" w:w="0"/>
        <w:jc w:val="center"/>
        <w:tblLook w:firstColumn="1" w:firstRow="1" w:lastColumn="0" w:lastRow="0" w:noHBand="0" w:noVBand="1" w:val="04A0"/>
      </w:tblPr>
      <w:tblGrid>
        <w:gridCol w:w="10325"/>
      </w:tblGrid>
      <w:tr>
        <w:tc>
          <w:tcPr>
            <w:tcW w:type="dxa" w:w="10325"/>
            <w:shd w:fill="E2F0D9"/>
            <w:tcMar>
              <w:top w:w="120" w:type="dxa"/>
              <w:start w:w="120" w:type="dxa"/>
              <w:bottom w:w="120" w:type="dxa"/>
              <w:end w:w="120" w:type="dxa"/>
            </w:tcMar>
          </w:tcPr>
          <w:p>
            <w:r>
              <w:rPr>
                <w:b/>
                <w:color w:val="17365D"/>
              </w:rPr>
              <w:t>UC-S2-03 completion status</w:t>
              <w:br/>
            </w:r>
            <w:r>
              <w:rPr>
                <w:sz w:val="18"/>
              </w:rPr>
              <w:t>Done when: a complete reference dataset and documented assumptions are available. The complete reference copy is preserved separately, and this document records the observed distributions, relationships, interpretation rules, leakage controls, limitations and proposed masking design.</w:t>
            </w:r>
          </w:p>
        </w:tc>
      </w:tr>
    </w:tbl>
    <w:p>
      <w:pPr>
        <w:spacing w:after="20"/>
      </w:pPr>
    </w:p>
    <w:sectPr w:rsidR="00FC693F" w:rsidRPr="0006063C" w:rsidSect="00034616">
      <w:headerReference w:type="default" r:id="rId9"/>
      <w:footerReference w:type="default" r:id="rId10"/>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Member 1  •  Underground Cable Workstream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Team 19 | SA Power Networks Capstone | Sprint 2 | UC-S2-03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