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  <w:sz w:val="48"/>
          <w:color w:val="1A365D"/>
        </w:rPr>
        <w:t>OctaOS Sales AI</w:t>
      </w:r>
    </w:p>
    <w:p>
      <w:pPr>
        <w:pStyle w:val="Subtitle"/>
      </w:pPr>
      <w:r>
        <w:rPr>
          <w:sz w:val="24"/>
          <w:color w:val="4A5568"/>
        </w:rPr>
        <w:t>Enterprise Lead Intelligence &amp; Autonomous Sourcing Architecture (60+ Channels)</w:t>
      </w:r>
    </w:p>
    <w:p>
      <w:pPr>
        <w:spacing w:after="300" w:line="276" w:lineRule="auto"/>
      </w:pPr>
      <w:r>
        <w:rPr>
          <w:i/>
          <w:color w:val="718096"/>
          <w:sz w:val="22"/>
        </w:rPr>
        <w:t xml:space="preserve">Document Generated: October 04, 2026 | Status: Approved Architecture Specification</w:t>
      </w:r>
    </w:p>
    <w:p>
      <w:pPr>
        <w:pStyle w:val="Heading1"/>
        <w:spacing w:before="400" w:after="160"/>
      </w:pPr>
      <w:r>
        <w:rPr>
          <w:b/>
          <w:color w:val="1A365D"/>
          <w:sz w:val="34"/>
        </w:rPr>
        <w:t>1. Executive Objective &amp; Strategic Shift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Transform OctaOS Sales AI from a conventional lead-generation directory scanner into an evidence-driven, signal-first revenue intelligence engine.</w:t>
      </w:r>
    </w:p>
    <w:p>
      <w:pPr>
        <w:pBdr>
          <w:left w:val="single" w:sz="24" w:space="12" w:color="3182CE"/>
        </w:pBdr>
        <w:shd w:val="clear" w:color="auto" w:fill="EBF8FF"/>
        <w:spacing w:before="160" w:after="160"/>
        <w:ind w:left="240" w:right="240"/>
      </w:pPr>
      <w:r>
        <w:rPr>
          <w:b/>
          <w:color w:val="2B6CB0"/>
          <w:sz w:val="22"/>
        </w:rPr>
        <w:t xml:space="preserve">The Fundamental Principle: </w:t>
      </w:r>
      <w:r>
        <w:rPr>
          <w:color w:val="2D3748"/>
          <w:sz w:val="22"/>
        </w:rPr>
        <w:t xml:space="preserve">Discover the account from intent whenever possible; discover the person only after the account has demonstrated a clear reason to buy.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Under this paradigm, contact search tools such as Apollo, Hunter, and ZoomInfo become enrichment and contact verification layers rather than the cold starting point.</w:t>
      </w:r>
    </w:p>
    <w:p>
      <w:pPr>
        <w:shd w:val="clear" w:color="auto" w:fill="EDF2F7"/>
        <w:spacing w:before="120" w:after="120"/>
        <w:ind w:left="360" w:right="360"/>
      </w:pPr>
      <w:r>
        <w:rPr>
          <w:rFonts w:ascii="Consolas" w:hAnsi="Consolas"/>
          <w:sz w:val="19"/>
          <w:color w:val="1A202C"/>
        </w:rPr>
        <w:t xml:space="preserve">Discover Accounts -&gt; Detect Buying Signals -&gt; Resolve Company Identity -&gt; Enrich Account
-&gt; Identify Buying Committee -&gt; Verify Contacts -&gt; Calculate ICP Fit -&gt; Calculate Intent
-&gt; Calculate Timing -&gt; Calculate Opportunity Value -&gt; Determine Outreach Eligibility
-&gt; Generate Personalized Sales Action -&gt; Track Outcome -&gt; Learn Which Sources Actually Produce Revenue</w:t>
      </w:r>
    </w:p>
    <w:p>
      <w:pPr>
        <w:pStyle w:val="Heading1"/>
        <w:spacing w:before="400" w:after="160"/>
      </w:pPr>
      <w:r>
        <w:rPr>
          <w:b/>
          <w:color w:val="1A365D"/>
          <w:sz w:val="34"/>
        </w:rPr>
        <w:t>2. Unified Source Architecture (60+ Sourcing Channels)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OctaOS establishes a unified sourcing topology spanning four distinct priority tiers:</w:t>
      </w:r>
    </w:p>
    <w:p>
      <w:pPr>
        <w:pStyle w:val="Heading2"/>
        <w:spacing w:before="280" w:after="120"/>
      </w:pPr>
      <w:r>
        <w:rPr>
          <w:b/>
          <w:color w:val="2B6CB0"/>
          <w:sz w:val="28"/>
        </w:rPr>
        <w:t>Tier S — First-Party / Warm Intelligence (Top Priority)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First-party signals convert at 5x to 15x the rate of cold outreach and must always outrank cold directory lists:</w:t>
      </w:r>
    </w:p>
    <w:tbl>
      <w:tblPr>
        <w:tblW w:w="9360" w:type="dxa"/>
        <w:tblBorders>
          <w:top w:val="single" w:sz="4" w:space="0" w:color="CBD5E0"/>
          <w:bottom w:val="single" w:sz="4" w:space="0" w:color="CBD5E0"/>
          <w:insideH w:val="single" w:sz="4" w:space="0" w:color="E2E8F0"/>
          <w:insideV w:val="none"/>
          <w:left w:val="none"/>
          <w:right w:val="none"/>
        </w:tblBorders>
      </w:tblPr>
      <w:tr>
        <w:trPr>
          <w:tblHeader/>
        </w:trPr>
        <w:tc>
          <w:tcPr>
            <w:tcW w:w="3120" w:type="dxa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w="3120" w:type="dxa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Primary Buying Signal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S1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Existing customers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Expansion / cross-sell triggers</w:t>
            </w:r>
          </w:p>
        </w:tc>
      </w:tr>
      <w:tr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S2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Existing users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Product engagement &amp; feature utilization spikes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S3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Champions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Job changes &amp; promotions into new accounts</w:t>
            </w:r>
          </w:p>
        </w:tc>
      </w:tr>
      <w:tr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S4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Former customers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Win-back triggers &amp; contract renewal windows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S5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Lost opportunities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Re-entry timing (competitor renewal, tech change)</w:t>
            </w:r>
          </w:p>
        </w:tc>
      </w:tr>
      <w:tr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S6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Website visitors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Anonymous company IP deanonymization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S7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Pricing-page visitors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High direct purchase intent</w:t>
            </w:r>
          </w:p>
        </w:tc>
      </w:tr>
      <w:tr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S8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Case-study visitors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Deep solution &amp; ROI evaluation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S9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Product / demo requests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Direct immediate inbound intent</w:t>
            </w:r>
          </w:p>
        </w:tc>
      </w:tr>
      <w:tr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S10-S12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Email engagement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Opens, clicks, and multi-thread reply history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S13-S14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Demo &amp; trial users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Active product usage &amp; conversion readiness</w:t>
            </w:r>
          </w:p>
        </w:tc>
      </w:tr>
      <w:tr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S15-S17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Referrals &amp; Partners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High-trust warm introductions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S18-S21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Closed-Won/Lost &amp; Lookalikes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ICP training and algorithmic expansion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b/>
          <w:color w:val="2B6CB0"/>
          <w:sz w:val="28"/>
        </w:rPr>
        <w:t>Tier A — Active Buying-Intent Sources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Active intent signals pinpoint companies currently allocating capital and experiencing urgent operational pain:</w:t>
      </w:r>
    </w:p>
    <w:p>
      <w:pPr>
        <w:pStyle w:val="Heading3"/>
        <w:spacing w:before="200" w:after="80"/>
      </w:pPr>
      <w:r>
        <w:rPr>
          <w:b/>
          <w:color w:val="2C5282"/>
          <w:sz w:val="24"/>
        </w:rPr>
        <w:t>A. Hiring Velocity &amp; Department Growth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Monitors Greenhouse, Lever, Ashby, Workable, Indeed, LinkedIn Jobs, Naukri, Wellfound, and company career pages.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Extracts: Company, role title, department, seniority level, number of openings, required tech stack, and posted date.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High-ROI Example: Company Acme hiring 7 SDRs and requiring Salesforce/HubSpot implies immediate need for lead intelligence tooling.</w:t>
      </w:r>
    </w:p>
    <w:p>
      <w:pPr>
        <w:pStyle w:val="Heading3"/>
        <w:spacing w:before="200" w:after="80"/>
      </w:pPr>
      <w:r>
        <w:rPr>
          <w:b/>
          <w:color w:val="2C5282"/>
          <w:sz w:val="24"/>
        </w:rPr>
        <w:t>B. Funding, Capital &amp; Financial Milestones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Monitors Crunchbase, Dealroom, Tracxn, PitchBook, SEC EDGAR/Form D, TechCrunch, Entrackr, Inc42, Y Combinator, and company press releases.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Triggers: Recent Seed, Series A, Series B, acquisition, market expansion, or new capital infusion.</w:t>
      </w:r>
    </w:p>
    <w:p>
      <w:pPr>
        <w:pStyle w:val="Heading3"/>
        <w:spacing w:before="200" w:after="80"/>
      </w:pPr>
      <w:r>
        <w:rPr>
          <w:b/>
          <w:color w:val="2C5282"/>
          <w:sz w:val="24"/>
        </w:rPr>
        <w:t>C. Company Formation &amp; Commercial Registries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Monitors MCA/ROC India, Companies House UK, OpenCorporates, SEC filings, trademark registrations, and operating permits.</w:t>
      </w:r>
    </w:p>
    <w:p>
      <w:pPr>
        <w:pStyle w:val="Heading3"/>
        <w:spacing w:before="200" w:after="80"/>
      </w:pPr>
      <w:r>
        <w:rPr>
          <w:b/>
          <w:color w:val="2C5282"/>
          <w:sz w:val="24"/>
        </w:rPr>
        <w:t>D. Technographic Changes &amp; Stack Switchers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Integrates BuiltWith, Wappalyzer, StoreLeads, HG Insights, Public DNS, MX records, SSL certificate transparency, and GitHub/npm/PyPI dependencies.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Detects: Competitor software dropped (e.g. Zendesk removed), new marketing automation added (e.g. HubSpot added), technology age, and migration probability.</w:t>
      </w:r>
    </w:p>
    <w:p>
      <w:pPr>
        <w:pStyle w:val="Heading3"/>
        <w:spacing w:before="200" w:after="80"/>
      </w:pPr>
      <w:r>
        <w:rPr>
          <w:b/>
          <w:color w:val="2C5282"/>
          <w:sz w:val="24"/>
        </w:rPr>
        <w:t>E. Review &amp; Customer Dissatisfaction Signals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Monitors G2, Capterra, TrustRadius, Trustpilot, Google Reviews, App Store reviews, and Product Hunt discussions.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Categorizes: Competitor complaints, pricing dissatisfaction, missing features, and alternative-seeking queries.</w:t>
      </w:r>
    </w:p>
    <w:p>
      <w:pPr>
        <w:pStyle w:val="Heading3"/>
        <w:spacing w:before="200" w:after="80"/>
      </w:pPr>
      <w:r>
        <w:rPr>
          <w:b/>
          <w:color w:val="2C5282"/>
          <w:sz w:val="24"/>
        </w:rPr>
        <w:t>F. Public RFPs, Tenders &amp; Procurement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Monitors GeM (India), CPPP, PSU procurement, SAM.gov (US), TED (Europe), UN Procurement, and World Bank.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Extracts: Explicit requirements, budget allocations, compliance rules, and submission deadlines.</w:t>
      </w:r>
    </w:p>
    <w:p>
      <w:pPr>
        <w:pStyle w:val="Heading2"/>
        <w:spacing w:before="280" w:after="120"/>
      </w:pPr>
      <w:r>
        <w:rPr>
          <w:b/>
          <w:color w:val="2B6CB0"/>
          <w:sz w:val="28"/>
        </w:rPr>
        <w:t>Tier B — Contact Discovery &amp; Waterfall Enrichment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Invoked only after an account has been discovered, qualified, and prioritized based on active signals: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Existing: Apollo, Hunter, ZoomInfo, Cognism, People Data Labs, Clearbit.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Additional Waterfall Providers: Lusha, RocketReach, Snov, Prospeo, Findymail, Kaspr, Seamless.AI, Dropcontact, FullEnrich, BetterContact.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Waterfall Execution: Cascades from low-cost providers to premium verification providers until a deliverable contact is confirmed.</w:t>
      </w:r>
    </w:p>
    <w:p>
      <w:pPr>
        <w:pStyle w:val="Heading2"/>
        <w:spacing w:before="280" w:after="120"/>
      </w:pPr>
      <w:r>
        <w:rPr>
          <w:b/>
          <w:color w:val="2B6CB0"/>
          <w:sz w:val="28"/>
        </w:rPr>
        <w:t>Tier C — Directory &amp; Vertical Sources (Fallback)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Fallback discovery for local or hyper-specific industries: Google Places, Clutch, GoodFirms, IndiaMART, TradeIndia, JustDial, ZaubaCorp, and specialized vertical registries.</w:t>
      </w:r>
    </w:p>
    <w:p>
      <w:pPr>
        <w:pStyle w:val="Heading1"/>
        <w:spacing w:before="400" w:after="160"/>
      </w:pPr>
      <w:r>
        <w:rPr>
          <w:b/>
          <w:color w:val="1A365D"/>
          <w:sz w:val="34"/>
        </w:rPr>
        <w:t>3. The Signal Bus, Evidence Provenance &amp; Stacking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Every source emits a normalized SignalEvent into the central event bus:</w:t>
      </w:r>
    </w:p>
    <w:p>
      <w:pPr>
        <w:shd w:val="clear" w:color="auto" w:fill="EDF2F7"/>
        <w:spacing w:before="120" w:after="120"/>
        <w:ind w:left="360" w:right="360"/>
      </w:pPr>
      <w:r>
        <w:rPr>
          <w:rFonts w:ascii="Consolas" w:hAnsi="Consolas"/>
          <w:sz w:val="19"/>
          <w:color w:val="1A202C"/>
        </w:rPr>
        <w:t xml:space="preserve">SignalEvent(
    company_domain="acme.com",
    signal_type="hiring",
    signal_subtype="sales_development",
    strength=0.82,
    confidence=0.94,
    observed_at=datetime.utcnow(),
    source="greenhouse",
    evidence_url="https://boards.greenhouse.io/acme/jobs/12345"
)</w:t>
      </w:r>
    </w:p>
    <w:p>
      <w:pPr>
        <w:pStyle w:val="Heading2"/>
        <w:spacing w:before="280" w:after="120"/>
      </w:pPr>
      <w:r>
        <w:rPr>
          <w:b/>
          <w:color w:val="2B6CB0"/>
          <w:sz w:val="28"/>
        </w:rPr>
        <w:t>Signal Provenance &amp; Verification Audit Trail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OctaOS stores raw and normalized evidence with URLs and timestamps so the Sales AI can always answer: 'Why is this lead considered high priority?' with verifiable proof.</w:t>
      </w:r>
    </w:p>
    <w:p>
      <w:pPr>
        <w:pStyle w:val="Heading2"/>
        <w:spacing w:before="280" w:after="120"/>
      </w:pPr>
      <w:r>
        <w:rPr>
          <w:b/>
          <w:color w:val="2B6CB0"/>
          <w:sz w:val="28"/>
        </w:rPr>
        <w:t>Signal Stacking &amp; Convergence Bonuses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Signals are not scored in isolation. Combined signals trigger compounding convergence bonuses.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Example: Funding (+25) + Hiring (+20) + New VP Sales (+18) + Hubspot Detected (+12) + Convergence Bonus (+15) = 90 Total Intent Score.</w:t>
      </w:r>
    </w:p>
    <w:p>
      <w:pPr>
        <w:pStyle w:val="Heading2"/>
        <w:spacing w:before="280" w:after="120"/>
      </w:pPr>
      <w:r>
        <w:rPr>
          <w:b/>
          <w:color w:val="2B6CB0"/>
          <w:sz w:val="28"/>
        </w:rPr>
        <w:t>Configurable Signal Decay (Half-Life)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Funding: 45 days half-life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Hiring: 21 days half-life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Executive change: 30 days half-life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Social / community intent: 7 days half-life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Effective Signal = Base Strength * Source Confidence * Recency Decay</w:t>
      </w:r>
    </w:p>
    <w:p>
      <w:pPr>
        <w:pStyle w:val="Heading1"/>
        <w:spacing w:before="400" w:after="160"/>
      </w:pPr>
      <w:r>
        <w:rPr>
          <w:b/>
          <w:color w:val="1A365D"/>
          <w:sz w:val="34"/>
        </w:rPr>
        <w:t>4. The 6-Layer Lead Validation Engine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Replaces generic status flags with a zero-bounce, strict 6-layer gate:</w:t>
      </w:r>
    </w:p>
    <w:tbl>
      <w:tblPr>
        <w:tblW w:w="9360" w:type="dxa"/>
        <w:tblBorders>
          <w:top w:val="single" w:sz="4" w:space="0" w:color="CBD5E0"/>
          <w:bottom w:val="single" w:sz="4" w:space="0" w:color="CBD5E0"/>
          <w:insideH w:val="single" w:sz="4" w:space="0" w:color="E2E8F0"/>
          <w:insideV w:val="none"/>
          <w:left w:val="none"/>
          <w:right w:val="none"/>
        </w:tblBorders>
      </w:tblPr>
      <w:tr>
        <w:trPr>
          <w:tblHeader/>
        </w:trPr>
        <w:tc>
          <w:tcPr>
            <w:tcW w:w="2340" w:type="dxa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Validation Checks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Possible Output States</w:t>
            </w:r>
          </w:p>
        </w:tc>
      </w:tr>
      <w:tr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Tier 0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Identity &amp; Deduplication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Company domain canonicalization, person identity matching, cross-provider ID resolution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MATCHED, MERGED, NEW_ACCOUNT</w:t>
            </w:r>
          </w:p>
        </w:tc>
      </w:tr>
      <w:tr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Tier 1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Syntax &amp; Domain Pre-Filter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RFC regex compliance, DNS domain validation, 3,500+ disposable domain blacklist, role account filter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VALID_FORMAT, INVALID, DISPOSABLE, ROLE_ACCOUNT, DOMAIN_INVALID</w:t>
            </w:r>
          </w:p>
        </w:tc>
      </w:tr>
      <w:tr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Tier 2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Deliverability Verification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Real-time MX record lookup, SMTP socket handshake (HELO, MAIL FROM, RCPT TO), catch-all server detection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DELIVERABLE, RISKY, CATCH_ALL, UNDELIVERABLE, UNKNOWN</w:t>
            </w:r>
          </w:p>
        </w:tc>
      </w:tr>
      <w:tr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Tier 3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Employment &amp; Persona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Current company confirmation, job title recency, department &amp; seniority validation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CONFIRMED, PROBABLE, STALE, CONFLICTING, UNKNOWN</w:t>
            </w:r>
          </w:p>
        </w:tc>
      </w:tr>
      <w:tr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Tier 4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Contactability &amp; Compliance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Suppression list check, DNC compliance, phone line type (mobile vs landline), quiet hours check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ELIGIBLE, SUPPRESSED, OPTOUT, RESTRICTED</w:t>
            </w:r>
          </w:p>
        </w:tc>
      </w:tr>
      <w:tr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Tier 5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Opportunity &amp; Timing Scoring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Multi-factor weighted scoring: ICP Fit (20%), Intent (25%), Timing (15%), Problem Fit (15%), Account Value (10%), Data Confidence (5%), Contactability (5%), Engagement (5%)</w:t>
            </w:r>
          </w:p>
        </w:tc>
        <w:tc>
          <w:tcPr>
            <w:tcW w:w="234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Score 0-100 (Hot, Warm, Qualified, Ignore)</w:t>
            </w:r>
          </w:p>
        </w:tc>
      </w:tr>
      <w:tr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Tier 6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Outreach Eligibility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Final operational gate before automated email, LinkedIn, or WhatsApp dispatch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READY, NEEDS_RESEARCH, NEEDS_VERIFICATION, NEEDS_APPROVAL, NURTURE, SUPPRESSED</w:t>
            </w:r>
          </w:p>
        </w:tc>
      </w:tr>
    </w:tbl>
    <w:p>
      <w:pPr>
        <w:spacing w:after="160"/>
      </w:pPr>
    </w:p>
    <w:p>
      <w:pPr>
        <w:pStyle w:val="Heading1"/>
        <w:spacing w:before="400" w:after="160"/>
      </w:pPr>
      <w:r>
        <w:rPr>
          <w:b/>
          <w:color w:val="1A365D"/>
          <w:sz w:val="34"/>
        </w:rPr>
        <w:t>5. Source ROI Engine &amp; Adaptive Allocation (Bandit Allocator)</w:t>
      </w:r>
    </w:p>
    <w:p>
      <w:pPr>
        <w:spacing w:after="160" w:line="276" w:lineRule="auto"/>
      </w:pPr>
      <w:r>
        <w:rPr>
          <w:color w:val="2D3748"/>
          <w:sz w:val="22"/>
        </w:rPr>
        <w:t xml:space="preserve">Every lead discovery and enrichment connector logs operational costs and conversion milestones: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Tracks: API cost, credits spent, records returned, records accepted, verified contacts, replies, meetings booked, and closed revenue.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Calculates: Cost per Verified Lead, Cost per Meeting, Cost per Deal, Meeting Rate, and Source ROI (Attributed Revenue / Source Cost).</w:t>
      </w:r>
    </w:p>
    <w:p>
      <w:pPr>
        <w:ind w:left="360" w:hanging="240"/>
        <w:spacing w:after="100"/>
      </w:pPr>
      <w:r>
        <w:rPr>
          <w:rFonts w:ascii="Arial" w:hAnsi="Arial"/>
          <w:color w:val="3182CE"/>
        </w:rPr>
        <w:t xml:space="preserve">●  </w:t>
      </w:r>
      <w:r>
        <w:rPr>
          <w:color w:val="2D3748"/>
          <w:sz w:val="22"/>
        </w:rPr>
        <w:t xml:space="preserve">Adaptive Bandit Allocator: Dynamically reallocates discovery budget toward sources delivering highest revenue yield per dollar, continuously improving campaign efficiency.</w:t>
      </w:r>
    </w:p>
    <w:p>
      <w:pPr>
        <w:pStyle w:val="Heading1"/>
        <w:spacing w:before="400" w:after="160"/>
      </w:pPr>
      <w:r>
        <w:rPr>
          <w:b/>
          <w:color w:val="1A365D"/>
          <w:sz w:val="34"/>
        </w:rPr>
        <w:t>6. Actionable Implementation Roadmap</w:t>
      </w:r>
    </w:p>
    <w:tbl>
      <w:tblPr>
        <w:tblW w:w="9360" w:type="dxa"/>
        <w:tblBorders>
          <w:top w:val="single" w:sz="4" w:space="0" w:color="CBD5E0"/>
          <w:bottom w:val="single" w:sz="4" w:space="0" w:color="CBD5E0"/>
          <w:insideH w:val="single" w:sz="4" w:space="0" w:color="E2E8F0"/>
          <w:insideV w:val="none"/>
          <w:left w:val="none"/>
          <w:right w:val="none"/>
        </w:tblBorders>
      </w:tblPr>
      <w:tr>
        <w:trPr>
          <w:tblHeader/>
        </w:trPr>
        <w:tc>
          <w:tcPr>
            <w:tcW w:w="3120" w:type="dxa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3120" w:type="dxa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w="3120" w:type="dxa"/>
            <w:shd w:val="clear" w:color="auto" w:fill="2B6CB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20"/>
              </w:rPr>
              <w:t>Core Deliverables &amp; Architecture Changes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Phase 0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Existing System Audit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Map all existing 11 providers in sales.py, database relationships, Celery tasks, and suppression rules.</w:t>
            </w:r>
          </w:p>
        </w:tc>
      </w:tr>
      <w:tr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Phase 1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Foundation &amp; Models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Create database models: companies, contacts, signals, signal_evidence, contact_verifications, source_records, source_costs.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Phase 2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Signal Event Bus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Implement SignalEvent bus, signal decay calculator, signal stacking, and convergence logic.</w:t>
            </w:r>
          </w:p>
        </w:tc>
      </w:tr>
      <w:tr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Phase 3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High-ROI Intent Connectors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Add Greenhouse, Lever, Ashby, Crunchbase/RSS, and career page scrapers as the primary discovery layer.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Phase 4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Waterfall Contact Enrichment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Reconfigure Apollo, Hunter, ZoomInfo, Cognism as post-account qualification contact enrichers.</w:t>
            </w:r>
          </w:p>
        </w:tc>
      </w:tr>
      <w:tr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Phase 5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6-Layer Validation Engine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Deploy syntax, disposable blocking, SMTP handshake verification, employment verification, and suppression gates.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Phase 6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Technographics &amp; Stack Scanning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Integrate BuiltWith/Wappalyzer/StoreLeads to detect competitor switchers.</w:t>
            </w:r>
          </w:p>
        </w:tc>
      </w:tr>
      <w:tr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Phase 7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Review &amp; Social Intent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Add G2/Capterra complaint monitoring and Reddit/HN intent classifiers.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Phase 8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Procurement &amp; RFP Subsystem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Build GeM and public tender scrapers with automatic qualification matching.</w:t>
            </w:r>
          </w:p>
        </w:tc>
      </w:tr>
      <w:tr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Phase 9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Tier S First-Party Integration</w:t>
            </w:r>
          </w:p>
        </w:tc>
        <w:tc>
          <w:tcPr>
            <w:tcW w:w="3120" w:type="dxa"/>
            <w:shd w:val="clear" w:color="auto" w:fill="F7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Connect website visitor deanonymization, CRM history, product engagement, and referral tracking.</w:t>
            </w:r>
          </w:p>
        </w:tc>
      </w:tr>
      <w:tr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Phase 10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Autonomous Source ROI Engine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2D3748"/>
                <w:sz w:val="20"/>
              </w:rPr>
              <w:t>Activate Multi-Armed Bandit allocator to automate source budget optimization based on closed revenue.</w:t>
            </w:r>
          </w:p>
        </w:tc>
      </w:tr>
    </w:tbl>
    <w:p>
      <w:pPr>
        <w:spacing w:after="160"/>
      </w:pP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2D3748"/>
      </w:rPr>
    </w:rPrDefault>
    <w:pPrDefault>
      <w:pPr>
        <w:spacing w:after="160" w:line="276" w:lineRule="auto"/>
      </w:pPr>
    </w:pPrDefault>
  </w:docDefaults>
  <w:style w:type="paragraph" w:styleId="Title">
    <w:name w:val="Title"/>
    <w:rPr>
      <w:rFonts w:ascii="Calibri" w:hAnsi="Calibri"/>
      <w:b/>
      <w:sz w:val="56"/>
      <w:color w:val="1A365D"/>
    </w:rPr>
    <w:pPr>
      <w:spacing w:before="240" w:after="240"/>
    </w:pPr>
  </w:style>
  <w:style w:type="paragraph" w:styleId="Subtitle">
    <w:name w:val="Subtitle"/>
    <w:rPr>
      <w:rFonts w:ascii="Calibri" w:hAnsi="Calibri"/>
      <w:i/>
      <w:sz w:val="26"/>
      <w:color w:val="4A5568"/>
    </w:rPr>
    <w:pPr>
      <w:spacing w:after="300"/>
    </w:pPr>
  </w:style>
  <w:style w:type="paragraph" w:styleId="Heading1">
    <w:name w:val="heading 1"/>
    <w:rPr>
      <w:rFonts w:ascii="Calibri" w:hAnsi="Calibri"/>
      <w:b/>
      <w:sz w:val="36"/>
      <w:color w:val="2B6CB0"/>
    </w:rPr>
    <w:pPr>
      <w:spacing w:before="400" w:after="160"/>
    </w:pPr>
  </w:style>
  <w:style w:type="paragraph" w:styleId="Heading2">
    <w:name w:val="heading 2"/>
    <w:rPr>
      <w:rFonts w:ascii="Calibri" w:hAnsi="Calibri"/>
      <w:b/>
      <w:sz w:val="28"/>
      <w:color w:val="2C5282"/>
    </w:rPr>
    <w:pPr>
      <w:spacing w:before="280" w:after="120"/>
    </w:pPr>
  </w:style>
  <w:style w:type="paragraph" w:styleId="Heading3">
    <w:name w:val="heading 3"/>
    <w:rPr>
      <w:rFonts w:ascii="Calibri" w:hAnsi="Calibri"/>
      <w:b/>
      <w:sz w:val="24"/>
      <w:color w:val="3182CE"/>
    </w:rPr>
    <w:pPr>
      <w:spacing w:before="200" w:after="8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