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</w:p>
    <w:p>
      <w:pPr>
        <w:spacing w:after="200"/>
      </w:pPr>
    </w:p>
    <w:p>
      <w:pPr>
        <w:jc w:val="center"/>
      </w:pPr>
      <w:r>
        <w:rPr>
          <w:rFonts w:ascii="Arial" w:cs="Arial" w:eastAsia="Arial" w:hAnsi="Arial"/>
          <w:b/>
          <w:bCs/>
          <w:color w:val="000091"/>
          <w:sz w:val="56"/>
          <w:szCs w:val="56"/>
        </w:rPr>
        <w:t xml:space="preserve">DOCSEARCH</w:t>
      </w:r>
    </w:p>
    <w:p>
      <w:pPr>
        <w:pBdr>
          <w:bottom w:val="single" w:color="000091" w:sz="8" w:space="8"/>
        </w:pBdr>
        <w:spacing w:after="100" w:before="200"/>
        <w:jc w:val="center"/>
      </w:pPr>
      <w:r>
        <w:rPr>
          <w:rFonts w:ascii="Arial" w:cs="Arial" w:eastAsia="Arial" w:hAnsi="Arial"/>
          <w:color w:val="161616"/>
          <w:sz w:val="28"/>
          <w:szCs w:val="28"/>
        </w:rPr>
        <w:t xml:space="preserve">Présentation fonctionnelle</w:t>
      </w:r>
    </w:p>
    <w:p>
      <w:pPr>
        <w:spacing w:after="60" w:before="300"/>
        <w:jc w:val="center"/>
      </w:pPr>
      <w:r>
        <w:rPr>
          <w:rFonts w:ascii="Arial" w:cs="Arial" w:eastAsia="Arial" w:hAnsi="Arial"/>
          <w:i/>
          <w:iCs/>
          <w:color w:val="666666"/>
          <w:sz w:val="21"/>
          <w:szCs w:val="21"/>
        </w:rPr>
        <w:t xml:space="preserve">Moteur de recherche documentaire on-premise — 100 % open source</w:t>
      </w:r>
    </w:p>
    <w:p>
      <w:pPr>
        <w:spacing w:after="5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  <w:shd w:fill="F6F6F6" w:val="clear"/>
            <w:tcMar>
              <w:top w:type="dxa" w:w="160"/>
              <w:left w:type="dxa" w:w="120"/>
              <w:bottom w:type="dxa" w:w="1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91"/>
                <w:sz w:val="32"/>
                <w:szCs w:val="32"/>
              </w:rPr>
              <w:t xml:space="preserve">400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utilisateurs</w:t>
            </w:r>
          </w:p>
        </w:tc>
        <w:tc>
          <w:tcPr>
            <w:tcW w:type="pct" w:w="33%"/>
            <w:shd w:fill="F6F6F6" w:val="clear"/>
            <w:tcMar>
              <w:top w:type="dxa" w:w="160"/>
              <w:left w:type="dxa" w:w="120"/>
              <w:bottom w:type="dxa" w:w="1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8753C"/>
                <w:sz w:val="32"/>
                <w:szCs w:val="32"/>
              </w:rPr>
              <w:t xml:space="preserve">4 000 000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documents</w:t>
            </w:r>
          </w:p>
        </w:tc>
        <w:tc>
          <w:tcPr>
            <w:tcW w:type="pct" w:w="33%"/>
            <w:shd w:fill="F6F6F6" w:val="clear"/>
            <w:tcMar>
              <w:top w:type="dxa" w:w="160"/>
              <w:left w:type="dxa" w:w="120"/>
              <w:bottom w:type="dxa" w:w="1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34000"/>
                <w:sz w:val="32"/>
                <w:szCs w:val="32"/>
              </w:rPr>
              <w:t xml:space="preserve">0 €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investissement initial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0091" w:sz="12" w:space="4"/>
        </w:pBdr>
        <w:spacing w:after="160" w:before="360"/>
      </w:pPr>
      <w:r>
        <w:rPr>
          <w:rFonts w:ascii="Arial" w:cs="Arial" w:eastAsia="Arial" w:hAnsi="Arial"/>
          <w:b/>
          <w:bCs/>
          <w:color w:val="000091"/>
          <w:sz w:val="30"/>
          <w:szCs w:val="30"/>
        </w:rPr>
        <w:t xml:space="preserve">En une phrase</w:t>
      </w:r>
    </w:p>
    <w:p>
      <w:pPr>
        <w:spacing w:after="14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DocSearch est un moteur de recherche documentaire on-premise, 100 % open source, conçu pour 400 utilisateurs et 4 millions de documents, avec contrôle d'accès et administration autonome — sans dépendance à un prestataire externe.</w:t>
      </w:r>
    </w:p>
    <w:p>
      <w:pPr>
        <w:spacing w:after="120"/>
      </w:pPr>
    </w:p>
    <w:p>
      <w:pPr>
        <w:pStyle w:val="Heading1"/>
        <w:pBdr>
          <w:bottom w:val="single" w:color="000091" w:sz="12" w:space="4"/>
        </w:pBdr>
        <w:spacing w:after="160" w:before="360"/>
      </w:pPr>
      <w:r>
        <w:rPr>
          <w:rFonts w:ascii="Arial" w:cs="Arial" w:eastAsia="Arial" w:hAnsi="Arial"/>
          <w:b/>
          <w:bCs/>
          <w:color w:val="000091"/>
          <w:sz w:val="30"/>
          <w:szCs w:val="30"/>
        </w:rPr>
        <w:t xml:space="preserve">Pour les utilisateurs — recherche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Recherche plein texte avec surlignage des termes trouvés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Filtres combinables : type de fichier (PDF, Word, Excel, PowerPoint — anciens et nouveaux formats confondus), auteur, dossier, intervalle de dates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Tri par pertinence, date, nom ou taille ; facettes avec comptages réels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Fiche détail par document : métadonnées complètes, droits d'accès, aperçu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8753C" w:sz="4"/>
              <w:left w:val="single" w:color="18753C" w:sz="4"/>
              <w:bottom w:val="single" w:color="18753C" w:sz="4"/>
              <w:right w:val="single" w:color="18753C" w:sz="4"/>
            </w:tcBorders>
            <w:shd w:fill="DFFEE6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8753C"/>
                <w:sz w:val="21"/>
                <w:szCs w:val="21"/>
              </w:rPr>
              <w:t xml:space="preserve">🔒 Contrôle d'accès systématique</w:t>
            </w:r>
          </w:p>
          <w:p>
            <w:r>
              <w:rPr>
                <w:rFonts w:ascii="Arial" w:cs="Arial" w:eastAsia="Arial" w:hAnsi="Arial"/>
                <w:color w:val="18753C"/>
                <w:sz w:val="20"/>
                <w:szCs w:val="20"/>
              </w:rPr>
              <w:t xml:space="preserve">Chaque utilisateur ne voit que les documents auxquels il a droit — le filtrage est appliqué à chaque requête de recherche, jamais en post-traitement après coup.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000091" w:sz="12" w:space="4"/>
        </w:pBdr>
        <w:spacing w:after="160" w:before="360"/>
      </w:pPr>
      <w:r>
        <w:rPr>
          <w:rFonts w:ascii="Arial" w:cs="Arial" w:eastAsia="Arial" w:hAnsi="Arial"/>
          <w:b/>
          <w:bCs/>
          <w:color w:val="000091"/>
          <w:sz w:val="30"/>
          <w:szCs w:val="30"/>
        </w:rPr>
        <w:t xml:space="preserve">Ce qui est indexé aujourd'hui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Formats bureautiques : PDF, Word, Excel, PowerPoint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Emails et pièces jointes Outlook (archives PST)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Fichiers texte bruts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Contenu des archives (.zip, .tar.gz, .7z…) — chaque fichier à l'intérieur est indexé individuellement, avec protection contre les archives malveillantes (zip bomb, zip slip)</w:t>
      </w:r>
    </w:p>
    <w:p>
      <w:pPr>
        <w:spacing w:after="8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61616"/>
          <w:sz w:val="21"/>
          <w:szCs w:val="21"/>
        </w:rPr>
        <w:t xml:space="preserve">Droits d'accès POSIX (propriétaire/groupe Unix) et Active Directory / LDAP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61616"/>
          <w:sz w:val="21"/>
          <w:szCs w:val="21"/>
        </w:rPr>
        <w:t xml:space="preserve">Dates de création et de dernière modification, distinctes</w:t>
      </w:r>
    </w:p>
    <w:p>
      <w:pPr>
        <w:spacing w:after="120"/>
      </w:pPr>
    </w:p>
    <w:p>
      <w:pPr>
        <w:pStyle w:val="Heading1"/>
        <w:pBdr>
          <w:bottom w:val="single" w:color="000091" w:sz="12" w:space="4"/>
        </w:pBdr>
        <w:spacing w:after="160" w:before="360"/>
      </w:pPr>
      <w:r>
        <w:rPr>
          <w:rFonts w:ascii="Arial" w:cs="Arial" w:eastAsia="Arial" w:hAnsi="Arial"/>
          <w:b/>
          <w:bCs/>
          <w:color w:val="000091"/>
          <w:sz w:val="30"/>
          <w:szCs w:val="30"/>
        </w:rPr>
        <w:t xml:space="preserve">Étendre à d'autres sources, y compris le web</w:t>
      </w:r>
    </w:p>
    <w:p>
      <w:pPr>
        <w:spacing w:after="14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L'architecture actuelle sépare volontairement la détection des documents (scan de dossiers) de leur indexation (extraction + Elasticsearch). Ce découpage rend possible l'ajout de nouvelles sources sans toucher au cœur du moteur de recherche : toute nouvelle source n'a besoin que de publier ses documents dans le même circuit d'indexation que celui déjà utilisé pour les fichiers du serveur.</w:t>
      </w:r>
    </w:p>
    <w:p>
      <w:pPr>
        <w:spacing w:after="80"/>
      </w:pPr>
    </w:p>
    <w:p>
      <w:pPr>
        <w:pStyle w:val="Heading2"/>
        <w:spacing w:after="120" w:before="260"/>
      </w:pPr>
      <w:r>
        <w:rPr>
          <w:rFonts w:ascii="Arial" w:cs="Arial" w:eastAsia="Arial" w:hAnsi="Arial"/>
          <w:b/>
          <w:bCs/>
          <w:color w:val="161616"/>
          <w:sz w:val="24"/>
          <w:szCs w:val="24"/>
        </w:rPr>
        <w:t xml:space="preserve">Sources envisageables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Sites web internes (intranet, wiki d'entreprise) par exploration automatique (crawling)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Sources documentaires publiques pertinentes pour l'administration : Légifrance, EUR-Lex, Conseil constitutionnel…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Flux RSS de veille documentaire, mis à jour en continu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Espaces collaboratifs : SharePoint, Google Drive, Confluence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Bases de données métier (extraction périodique de fiches ou d'enregistrements)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34000" w:sz="4"/>
              <w:left w:val="single" w:color="B34000" w:sz="4"/>
              <w:bottom w:val="single" w:color="B34000" w:sz="4"/>
              <w:right w:val="single" w:color="B34000" w:sz="4"/>
            </w:tcBorders>
            <w:shd w:fill="FFE9E6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34000"/>
                <w:sz w:val="21"/>
                <w:szCs w:val="21"/>
              </w:rPr>
              <w:t xml:space="preserve">🗺️ Statut : évolution possible, pas encore réalisée</w:t>
            </w:r>
          </w:p>
          <w:p>
            <w:r>
              <w:rPr>
                <w:rFonts w:ascii="Arial" w:cs="Arial" w:eastAsia="Arial" w:hAnsi="Arial"/>
                <w:color w:val="B34000"/>
                <w:sz w:val="20"/>
                <w:szCs w:val="20"/>
              </w:rPr>
              <w:t xml:space="preserve">Cette extension n'est pas développée à ce jour. Elle est présentée ici parce que l'architecture du moteur la rend possible sans remise en cause de l'existant — l'ajout d'une source web ou d'un connecteur supplémentaire est un chantier indépendant, chiffrable séparément selon les sources retenues.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000091" w:sz="12" w:space="4"/>
        </w:pBdr>
        <w:spacing w:after="160" w:before="360"/>
      </w:pPr>
      <w:r>
        <w:rPr>
          <w:rFonts w:ascii="Arial" w:cs="Arial" w:eastAsia="Arial" w:hAnsi="Arial"/>
          <w:b/>
          <w:bCs/>
          <w:color w:val="000091"/>
          <w:sz w:val="30"/>
          <w:szCs w:val="30"/>
        </w:rPr>
        <w:t xml:space="preserve">Administration — sans toucher à Docker ni au code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Panneau web dédié, réservé aux membres d'un groupe LDAP administrateur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État de tous les composants en temps réel (moteur de recherche, files de traitement, surveillance des dossiers)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Métriques d'indexation : documents indexés, taille de l'index, répartition par type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Déclenchement d'un scan ou d'une purge ciblée directement depuis l'interface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8753C" w:sz="4"/>
              <w:left w:val="single" w:color="18753C" w:sz="4"/>
              <w:bottom w:val="single" w:color="18753C" w:sz="4"/>
              <w:right w:val="single" w:color="18753C" w:sz="4"/>
            </w:tcBorders>
            <w:shd w:fill="DFFEE6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8753C"/>
                <w:sz w:val="21"/>
                <w:szCs w:val="21"/>
              </w:rPr>
              <w:t xml:space="preserve">⚙️ Configuration modifiable à chaud</w:t>
            </w:r>
          </w:p>
          <w:p>
            <w:r>
              <w:rPr>
                <w:rFonts w:ascii="Arial" w:cs="Arial" w:eastAsia="Arial" w:hAnsi="Arial"/>
                <w:color w:val="18753C"/>
                <w:sz w:val="20"/>
                <w:szCs w:val="20"/>
              </w:rPr>
              <w:t xml:space="preserve">Types de fichiers autorisés, tailles maximales, dossiers à exclure ou inclure : tout est ajustable sans redémarrage et sans intervention technique.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000091" w:sz="12" w:space="4"/>
        </w:pBdr>
        <w:spacing w:after="160" w:before="360"/>
      </w:pPr>
      <w:r>
        <w:rPr>
          <w:rFonts w:ascii="Arial" w:cs="Arial" w:eastAsia="Arial" w:hAnsi="Arial"/>
          <w:b/>
          <w:bCs/>
          <w:color w:val="000091"/>
          <w:sz w:val="30"/>
          <w:szCs w:val="30"/>
        </w:rPr>
        <w:t xml:space="preserve">Performance et fiabilité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Indexation parallélisée (plusieurs processus simultanés) pour absorber un gros volume rapidement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Renommer un fichier ou un dossier entier ne relance pas l'extraction de son contenu — seule une mise à jour légère de l'index est nécessaire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Surveillance en temps réel des nouveaux documents, y compris sur les partages réseau</w:t>
      </w:r>
    </w:p>
    <w:p>
      <w:pPr>
        <w:spacing w:after="120"/>
      </w:pPr>
    </w:p>
    <w:p>
      <w:pPr>
        <w:pStyle w:val="Heading1"/>
        <w:pBdr>
          <w:bottom w:val="single" w:color="000091" w:sz="12" w:space="4"/>
        </w:pBdr>
        <w:spacing w:after="160" w:before="360"/>
      </w:pPr>
      <w:r>
        <w:rPr>
          <w:rFonts w:ascii="Arial" w:cs="Arial" w:eastAsia="Arial" w:hAnsi="Arial"/>
          <w:b/>
          <w:bCs/>
          <w:color w:val="000091"/>
          <w:sz w:val="30"/>
          <w:szCs w:val="30"/>
        </w:rPr>
        <w:t xml:space="preserve">Aspect économique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Stack 100 % open source (Elasticsearch, Kafka, Apache Tika, Redis) — aucun coût de licence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Infrastructure et déploiement pris en charge en interne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Retour sur investissement estimé × 52 sur 3 ans (détail dans la proposition de déploiement)</w:t>
      </w:r>
    </w:p>
    <w:p>
      <w:pPr>
        <w:spacing w:after="120"/>
      </w:pPr>
    </w:p>
    <w:p>
      <w:pPr>
        <w:pStyle w:val="Heading1"/>
        <w:pBdr>
          <w:bottom w:val="single" w:color="000091" w:sz="12" w:space="4"/>
        </w:pBdr>
        <w:spacing w:after="160" w:before="360"/>
      </w:pPr>
      <w:r>
        <w:rPr>
          <w:rFonts w:ascii="Arial" w:cs="Arial" w:eastAsia="Arial" w:hAnsi="Arial"/>
          <w:b/>
          <w:bCs/>
          <w:color w:val="000091"/>
          <w:sz w:val="30"/>
          <w:szCs w:val="30"/>
        </w:rPr>
        <w:t xml:space="preserve">Pile technique</w:t>
      </w:r>
    </w:p>
    <w:p>
      <w:pPr>
        <w:spacing w:after="14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Chaque composant a un rôle précis dans la chaîne d'indexation et de recherche — tous open source, sans coût de licence.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200"/>
        <w:gridCol w:w="2200"/>
      </w:tblGrid>
      <w:tr>
        <w:tc>
          <w:tcPr>
            <w:tcW w:type="dxa" w:w="2800"/>
            <w:shd w:fill="00009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Composant</w:t>
            </w:r>
          </w:p>
        </w:tc>
        <w:tc>
          <w:tcPr>
            <w:tcW w:type="dxa" w:w="4200"/>
            <w:shd w:fill="00009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Rôle</w:t>
            </w:r>
          </w:p>
        </w:tc>
        <w:tc>
          <w:tcPr>
            <w:tcW w:type="dxa" w:w="2200"/>
            <w:shd w:fill="00009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Version</w:t>
            </w:r>
          </w:p>
        </w:tc>
      </w:tr>
      <w:t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19"/>
                <w:szCs w:val="19"/>
              </w:rPr>
              <w:t xml:space="preserve">Elasticsearch</w:t>
            </w:r>
          </w:p>
        </w:tc>
        <w:tc>
          <w:tcPr>
            <w:tcW w:type="dxa" w:w="4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19"/>
                <w:szCs w:val="19"/>
              </w:rPr>
              <w:t xml:space="preserve">Indexation et recherche plein texte</w:t>
            </w:r>
          </w:p>
        </w:tc>
        <w:tc>
          <w:tcPr>
            <w:tcW w:type="dxa" w:w="2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19"/>
                <w:szCs w:val="19"/>
              </w:rPr>
              <w:t xml:space="preserve">9.4.3</w:t>
            </w:r>
          </w:p>
        </w:tc>
      </w:tr>
      <w:t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19"/>
                <w:szCs w:val="19"/>
              </w:rPr>
              <w:t xml:space="preserve">Apache Tika</w:t>
            </w:r>
          </w:p>
        </w:tc>
        <w:tc>
          <w:tcPr>
            <w:tcW w:type="dxa" w:w="4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19"/>
                <w:szCs w:val="19"/>
              </w:rPr>
              <w:t xml:space="preserve">Extraction de contenu et métadonnées (×4 instances)</w:t>
            </w:r>
          </w:p>
        </w:tc>
        <w:tc>
          <w:tcPr>
            <w:tcW w:type="dxa" w:w="2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19"/>
                <w:szCs w:val="19"/>
              </w:rPr>
              <w:t xml:space="preserve">3.3.1.0</w:t>
            </w:r>
          </w:p>
        </w:tc>
      </w:tr>
      <w:t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19"/>
                <w:szCs w:val="19"/>
              </w:rPr>
              <w:t xml:space="preserve">Kafka (KRaft)</w:t>
            </w:r>
          </w:p>
        </w:tc>
        <w:tc>
          <w:tcPr>
            <w:tcW w:type="dxa" w:w="4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19"/>
                <w:szCs w:val="19"/>
              </w:rPr>
              <w:t xml:space="preserve">File de messages pour l'indexation parallélisée — sans Zookeeper</w:t>
            </w:r>
          </w:p>
        </w:tc>
        <w:tc>
          <w:tcPr>
            <w:tcW w:type="dxa" w:w="2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19"/>
                <w:szCs w:val="19"/>
              </w:rPr>
              <w:t xml:space="preserve">8.3</w:t>
            </w:r>
          </w:p>
        </w:tc>
      </w:tr>
      <w:t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19"/>
                <w:szCs w:val="19"/>
              </w:rPr>
              <w:t xml:space="preserve">Redis</w:t>
            </w:r>
          </w:p>
        </w:tc>
        <w:tc>
          <w:tcPr>
            <w:tcW w:type="dxa" w:w="4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19"/>
                <w:szCs w:val="19"/>
              </w:rPr>
              <w:t xml:space="preserve">Configuration modifiable à chaud, cache</w:t>
            </w:r>
          </w:p>
        </w:tc>
        <w:tc>
          <w:tcPr>
            <w:tcW w:type="dxa" w:w="2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19"/>
                <w:szCs w:val="19"/>
              </w:rPr>
              <w:t xml:space="preserve">7.2</w:t>
            </w:r>
          </w:p>
        </w:tc>
      </w:tr>
      <w:t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19"/>
                <w:szCs w:val="19"/>
              </w:rPr>
              <w:t xml:space="preserve">Nginx</w:t>
            </w:r>
          </w:p>
        </w:tc>
        <w:tc>
          <w:tcPr>
            <w:tcW w:type="dxa" w:w="4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19"/>
                <w:szCs w:val="19"/>
              </w:rPr>
              <w:t xml:space="preserve">Reverse proxy, terminaison SSL</w:t>
            </w:r>
          </w:p>
        </w:tc>
        <w:tc>
          <w:tcPr>
            <w:tcW w:type="dxa" w:w="2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19"/>
                <w:szCs w:val="19"/>
              </w:rPr>
              <w:t xml:space="preserve">1.27</w:t>
            </w:r>
          </w:p>
        </w:tc>
      </w:tr>
      <w:t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19"/>
                <w:szCs w:val="19"/>
              </w:rPr>
              <w:t xml:space="preserve">Python</w:t>
            </w:r>
          </w:p>
        </w:tc>
        <w:tc>
          <w:tcPr>
            <w:tcW w:type="dxa" w:w="4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19"/>
                <w:szCs w:val="19"/>
              </w:rPr>
              <w:t xml:space="preserve">Ingestion, API de recherche</w:t>
            </w:r>
          </w:p>
        </w:tc>
        <w:tc>
          <w:tcPr>
            <w:tcW w:type="dxa" w:w="2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19"/>
                <w:szCs w:val="19"/>
              </w:rPr>
              <w:t xml:space="preserve">3.12</w:t>
            </w:r>
          </w:p>
        </w:tc>
      </w:tr>
    </w:tbl>
    <w:p>
      <w:pPr>
        <w:spacing w:after="120"/>
      </w:pPr>
    </w:p>
    <w:p>
      <w:pPr>
        <w:pStyle w:val="Heading2"/>
        <w:spacing w:after="120" w:before="260"/>
      </w:pPr>
      <w:r>
        <w:rPr>
          <w:rFonts w:ascii="Arial" w:cs="Arial" w:eastAsia="Arial" w:hAnsi="Arial"/>
          <w:b/>
          <w:bCs/>
          <w:color w:val="161616"/>
          <w:sz w:val="24"/>
          <w:szCs w:val="24"/>
        </w:rPr>
        <w:t xml:space="preserve">Architecture en plusieurs dépôts</w:t>
      </w:r>
    </w:p>
    <w:p>
      <w:pPr>
        <w:spacing w:after="14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Le projet est découpé en dépôts indépendants (ingestion, API de recherche, interface web, orchestration, documentation) plutôt qu'un seul bloc monolithique — chacun peut évoluer, être testé et redéployé séparément, sans recharger l'ensemble du système à chaque modification.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8753C" w:sz="4"/>
              <w:left w:val="single" w:color="18753C" w:sz="4"/>
              <w:bottom w:val="single" w:color="18753C" w:sz="4"/>
              <w:right w:val="single" w:color="18753C" w:sz="4"/>
            </w:tcBorders>
            <w:shd w:fill="DFFEE6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8753C"/>
                <w:sz w:val="21"/>
                <w:szCs w:val="21"/>
              </w:rPr>
              <w:t xml:space="preserve">🐳 Déploiement</w:t>
            </w:r>
          </w:p>
          <w:p>
            <w:r>
              <w:rPr>
                <w:rFonts w:ascii="Arial" w:cs="Arial" w:eastAsia="Arial" w:hAnsi="Arial"/>
                <w:color w:val="18753C"/>
                <w:sz w:val="20"/>
                <w:szCs w:val="20"/>
              </w:rPr>
              <w:t xml:space="preserve">Conteneurs Docker orchestrés via Docker Compose, avec des profils dédiés pour le développement (nœud unique) et la production (cluster à plusieurs nœuds).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000091" w:sz="12" w:space="4"/>
        </w:pBdr>
        <w:spacing w:after="160" w:before="360"/>
      </w:pPr>
      <w:r>
        <w:rPr>
          <w:rFonts w:ascii="Arial" w:cs="Arial" w:eastAsia="Arial" w:hAnsi="Arial"/>
          <w:b/>
          <w:bCs/>
          <w:color w:val="000091"/>
          <w:sz w:val="30"/>
          <w:szCs w:val="30"/>
        </w:rPr>
        <w:t xml:space="preserve">À venir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Assistant conversationnel (RAG) : une démonstration est disponible aujourd'hui à titre d'aperçu ; son développement réel est chiffré comme évolution optionnelle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Connecteurs de sources supplémentaires, y compris web (voir section dédiée ci-dessus)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2026-07-07T05:01:43.514Z</dcterms:created>
  <dcterms:modified xsi:type="dcterms:W3CDTF">2026-07-07T05:01:43.514Z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