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0091"/>
          <w:sz w:val="56"/>
          <w:szCs w:val="56"/>
        </w:rPr>
        <w:t xml:space="preserve">DOCSEARCH</w:t>
      </w:r>
    </w:p>
    <w:p>
      <w:pPr>
        <w:pBdr>
          <w:bottom w:val="single" w:color="000091" w:sz="8" w:space="8"/>
        </w:pBdr>
        <w:spacing w:after="100" w:before="200"/>
        <w:jc w:val="center"/>
      </w:pPr>
      <w:r>
        <w:rPr>
          <w:rFonts w:ascii="Arial" w:cs="Arial" w:eastAsia="Arial" w:hAnsi="Arial"/>
          <w:color w:val="161616"/>
          <w:sz w:val="28"/>
          <w:szCs w:val="28"/>
        </w:rPr>
        <w:t xml:space="preserve">Présentation fonctionnelle</w:t>
      </w:r>
    </w:p>
    <w:p>
      <w:pPr>
        <w:spacing w:after="60" w:before="300"/>
        <w:jc w:val="center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 xml:space="preserve">Moteur de recherche documentaire on-premise — 100 % open source</w:t>
      </w:r>
    </w:p>
    <w:p>
      <w:pPr>
        <w:spacing w:after="5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91"/>
                <w:sz w:val="32"/>
                <w:szCs w:val="32"/>
              </w:rPr>
              <w:t xml:space="preserve">400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utilisateurs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753C"/>
                <w:sz w:val="32"/>
                <w:szCs w:val="32"/>
              </w:rPr>
              <w:t xml:space="preserve">4 000 000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documents</w:t>
            </w:r>
          </w:p>
        </w:tc>
        <w:tc>
          <w:tcPr>
            <w:tcW w:type="pct" w:w="33%"/>
            <w:shd w:fill="F6F6F6" w:val="clear"/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34000"/>
                <w:sz w:val="32"/>
                <w:szCs w:val="32"/>
              </w:rPr>
              <w:t xml:space="preserve">0 €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investissement initial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En une phrase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DocSearch est un moteur de recherche documentaire on-premise, 100 % open source, conçu pour 400 utilisateurs et 4 millions de documents, avec contrôle d'accès et administration autonome — sans dépendance à un prestataire externe.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Pour les utilisateurs — recherche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Recherche plein texte avec surlignage des termes trouvés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Filtres combinables : type de fichier (PDF, Word, Excel, PowerPoint — anciens et nouveaux formats confondus), auteur, dossier, intervalle de 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Tri par pertinence, date, nom ou taille ; facettes avec comptages réels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Fiche détail par document : métadonnées complètes, droits d'accès, aperçu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Interface conforme au Système de Design de l'État (DSFR), en thème clair ou sombre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🔒 Contrôle d'accès systématique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Chaque utilisateur ne voit que les documents auxquels il a droit — le filtrage est appliqué à chaque requête de recherche, jamais en post-traitement après coup.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Ce qui est indexé aujourd'hui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Formats bureautiques : PDF, Word, Excel, PowerPoint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Emails et pièces jointes Outlook (archives PST)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Fichiers texte bruts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Contenu des archives (.zip, .tar.gz, .7z…) — chaque fichier à l'intérieur est indexé individuellement, avec protection contre les archives malveillantes (zip bomb, zip slip)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Droits d'accès POSIX (propriétaire/groupe Unix) et Active Directory / LDAP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61616"/>
          <w:sz w:val="21"/>
          <w:szCs w:val="21"/>
        </w:rPr>
        <w:t xml:space="preserve">Dates de création et de dernière modification, distinctes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Étendre à d'autres sources, y compris le web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L'architecture actuelle sépare volontairement la détection des documents (scan de dossiers) de leur indexation (extraction + Elasticsearch). Ce découpage rend possible l'ajout de nouvelles sources sans toucher au cœur du moteur de recherche : toute nouvelle source n'a besoin que de publier ses documents dans le même circuit d'indexation que celui déjà utilisé pour les fichiers du serveur.</w:t>
      </w:r>
    </w:p>
    <w:p>
      <w:pPr>
        <w:spacing w:after="80"/>
      </w:pP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161616"/>
          <w:sz w:val="24"/>
          <w:szCs w:val="24"/>
        </w:rPr>
        <w:t xml:space="preserve">Sources envisageables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Sites web internes (intranet, wiki d'entreprise) par exploration automatique (crawling)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Sources documentaires publiques pertinentes pour l'administration : Légifrance, EUR-Lex, Conseil constitutionnel…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Flux RSS de veille documentaire, mis à jour en continu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Espaces collaboratifs : SharePoint, Google Drive, Confluence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Bases de données métier (extraction périodique de fiches ou d'enregistrements)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34000" w:sz="4"/>
              <w:left w:val="single" w:color="B34000" w:sz="4"/>
              <w:bottom w:val="single" w:color="B34000" w:sz="4"/>
              <w:right w:val="single" w:color="B34000" w:sz="4"/>
            </w:tcBorders>
            <w:shd w:fill="FFE9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34000"/>
                <w:sz w:val="21"/>
                <w:szCs w:val="21"/>
              </w:rPr>
              <w:t xml:space="preserve">🗺️ Statut : évolution possible, pas encore réalisée</w:t>
            </w:r>
          </w:p>
          <w:p>
            <w:r>
              <w:rPr>
                <w:rFonts w:ascii="Arial" w:cs="Arial" w:eastAsia="Arial" w:hAnsi="Arial"/>
                <w:color w:val="B34000"/>
                <w:sz w:val="20"/>
                <w:szCs w:val="20"/>
              </w:rPr>
              <w:t xml:space="preserve">Cette extension n'est pas développée à ce jour. Elle est présentée ici parce que l'architecture du moteur la rend possible sans remise en cause de l'existant — l'ajout d'une source web ou d'un connecteur supplémentaire est un chantier indépendant, chiffrable séparément selon les sources retenues.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Administration — sans toucher à Docker ni au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Panneau web dédié, réservé aux membres d'un groupe LDAP administrateur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État de tous les composants en temps réel (moteur de recherche, files de traitement, surveillance des dossiers)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Métriques d'indexation : documents indexés, taille de l'index, répartition par 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>Statistiques d'usage : volumétrie des recherches, requêtes les plus fréquentes, recherches restées sans résultat, satisfaction (avis et score NPS)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>Ventilation par service : recherches, avis et satisfaction sont aussi présentés par groupe d'utilisateurs, ce qui permet de distinguer une insatisfaction générale d'une difficulté propre à un bureau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Déclenchement d'un scan ou d'une purge ciblée directement depuis l'interface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⚙️ Configuration modifiable à chaud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Types de fichiers autorisés, tailles maximales, dossiers à exclure ou inclure : tout est ajustable sans redémarrage et sans intervention technique.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Performance et fiabilité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Indexation parallélisée (plusieurs processus simultanés) pour absorber un gros volume rapidement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Renommer un fichier ou un dossier entier ne relance pas l'extraction de son contenu — seule une mise à jour légère de l'index est nécessaire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Surveillance en temps réel des nouveaux documents, y compris sur les partages réseau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Aspect économique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Stack 100 % open source (Elasticsearch, Kafka, Apache Tika, Redis) — aucun coût de licence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Infrastructure et déploiement pris en charge en interne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Retour sur investissement estimé × 52 sur 3 ans (détail dans la proposition de déploiement)</w:t>
      </w:r>
    </w:p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Pile technique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Chaque composant a un rôle précis dans la chaîne d'indexation et de recherche — tous open source, sans coût de licence.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200"/>
      </w:tblGrid>
      <w:tr>
        <w:tc>
          <w:tcPr>
            <w:tcW w:type="dxa" w:w="28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Composant</w:t>
            </w:r>
          </w:p>
        </w:tc>
        <w:tc>
          <w:tcPr>
            <w:tcW w:type="dxa" w:w="42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200"/>
            <w:shd w:fill="00009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Indexation et recherche plein texte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9.4.3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Apache Tika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Extraction de contenu et métadonnées (×4 instances)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3.3.1.0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Kafka (KRaft)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File de messages pour l'indexation parallélisée — sans Zookeeper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8.3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Redis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Configuration modifiable à chaud, cache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7.2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Nginx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Reverse proxy, terminaison SSL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1.27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Python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Ingestion, API de recherche</w:t>
            </w:r>
          </w:p>
        </w:tc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19"/>
                <w:szCs w:val="19"/>
              </w:rPr>
              <w:t xml:space="preserve">3.12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161616"/>
          <w:sz w:val="24"/>
          <w:szCs w:val="24"/>
        </w:rPr>
        <w:t xml:space="preserve">Architecture en plusieurs dépôts</w:t>
      </w:r>
    </w:p>
    <w:p>
      <w:pPr>
        <w:spacing w:after="14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Le projet est découpé en dépôts indépendants (ingestion, API de recherche, interface web, orchestration, documentation) plutôt qu'un seul bloc monolithique — chacun peut évoluer, être testé et redéployé séparément, sans recharger l'ensemble du système à chaque modification.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8753C" w:sz="4"/>
              <w:left w:val="single" w:color="18753C" w:sz="4"/>
              <w:bottom w:val="single" w:color="18753C" w:sz="4"/>
              <w:right w:val="single" w:color="18753C" w:sz="4"/>
            </w:tcBorders>
            <w:shd w:fill="DFFEE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8753C"/>
                <w:sz w:val="21"/>
                <w:szCs w:val="21"/>
              </w:rPr>
              <w:t xml:space="preserve">🐳 Déploiement</w:t>
            </w:r>
          </w:p>
          <w:p>
            <w:r>
              <w:rPr>
                <w:rFonts w:ascii="Arial" w:cs="Arial" w:eastAsia="Arial" w:hAnsi="Arial"/>
                <w:color w:val="18753C"/>
                <w:sz w:val="20"/>
                <w:szCs w:val="20"/>
              </w:rPr>
              <w:t xml:space="preserve">Conteneurs Docker orchestrés via Docker Compose, avec des profils dédiés pour le développement (nœud unique) et la production (cluster à plusieurs nœuds).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000091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000091"/>
          <w:sz w:val="30"/>
          <w:szCs w:val="30"/>
        </w:rPr>
        <w:t xml:space="preserve">À venir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Assistant conversationnel (RAG) : une démonstration est disponible aujourd'hui à titre d'aperçu ; son développement réel est chiffré comme évolution optionnelle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61616"/>
          <w:sz w:val="21"/>
          <w:szCs w:val="21"/>
        </w:rPr>
        <w:t xml:space="preserve">Connecteurs de sources supplémentaires, y compris web (voir section dédiée ci-dessus)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2026-07-07T05:01:43.514Z</dcterms:created>
  <dcterms:modified xsi:type="dcterms:W3CDTF">2026-07-07T05:01:43.514Z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