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Full Standard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Buy standard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Sell Standard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-privleged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-fail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-Sucessful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-Username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- at most 15 characters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- Alphanumeric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- Different from others saved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-padding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-Password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-Type of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-Privleged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-Only made from other privleged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-Non-Privleged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Delete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Sucessful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Unsecessful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non-privleged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non existing username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 Test Cases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Not buy Standar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Admin Sell full standard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Can't be negative sell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can't be over 999.99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Number of tickets can't be negative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number of tickets can't be over 100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Charachter count for title can't be more than 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logged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Not sell Standard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Admin Buy full standard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Title exists and doesn't exist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Enough tickets for sale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No more than 4 tickets no less than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Accept buy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Charachter count for title can't be more than 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Privleged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Buyer and sell must be valid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Both user names exist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Sell has enough crdit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logged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addcredit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Must be admin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Username of standard user must exist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-Credit can't be higher than 1000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-credit can't be a negative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Standard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improper formating length problems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 amount can't be greater than 1000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Rough Software Quality outline.docx</dc:title>
</cp:coreProperties>
</file>