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pPr>
      <w:r>
        <w:rPr>
          <w:rFonts w:ascii="Calibri" w:cs="Calibri" w:eastAsia="Calibri" w:hAnsi="Calibri"/>
          <w:b/>
          <w:bCs/>
          <w:color w:val="8A5A20"/>
          <w:spacing w:val="30"/>
          <w:sz w:val="17"/>
          <w:szCs w:val="17"/>
        </w:rPr>
        <w:t xml:space="preserve">PROJECT KNORI  ·  MILESTONE 1</w:t>
      </w:r>
    </w:p>
    <w:p>
      <w:pPr>
        <w:spacing w:after="70"/>
      </w:pPr>
      <w:r>
        <w:rPr>
          <w:rFonts w:ascii="Georgia" w:cs="Georgia" w:eastAsia="Georgia" w:hAnsi="Georgia"/>
          <w:b/>
          <w:bCs/>
          <w:color w:val="1A1714"/>
          <w:sz w:val="44"/>
          <w:szCs w:val="44"/>
        </w:rPr>
        <w:t xml:space="preserve">Verification Pack</w:t>
      </w:r>
    </w:p>
    <w:p>
      <w:pPr>
        <w:spacing w:after="220"/>
      </w:pPr>
      <w:r>
        <w:rPr>
          <w:rFonts w:ascii="Calibri" w:cs="Calibri" w:eastAsia="Calibri" w:hAnsi="Calibri"/>
          <w:color w:val="5A544C"/>
          <w:sz w:val="22"/>
          <w:szCs w:val="22"/>
        </w:rPr>
        <w:t xml:space="preserve">Everything you asked for, in one place — repository, live demonstration, documentation, and an honest statement of what is and is not finished</w:t>
      </w:r>
    </w:p>
    <w:p>
      <w:pPr>
        <w:pBdr>
          <w:bottom w:val="single" w:color="D8D2C8" w:sz="6" w:space="1"/>
        </w:pBdr>
        <w:spacing w:after="150" w:before="60"/>
      </w:pPr>
      <w:r>
        <w:t xml:space="preserve"/>
      </w:r>
    </w:p>
    <w:p>
      <w:pPr>
        <w:spacing w:after="120" w:line="288"/>
      </w:pPr>
      <w:r>
        <w:rPr>
          <w:rFonts w:ascii="Calibri" w:cs="Calibri" w:eastAsia="Calibri" w:hAnsi="Calibri"/>
          <w:color w:val="1A1714"/>
          <w:sz w:val="21"/>
          <w:szCs w:val="21"/>
        </w:rPr>
        <w:t xml:space="preserve">You asked to inspect and verify the work before accepting it. That is a fair request and this pack exists to make it easy. Below are the five things you asked for, each with exactly where to find it and what to do with it.</w:t>
      </w:r>
    </w:p>
    <w:p>
      <w:pPr>
        <w:spacing w:after="120" w:line="288"/>
      </w:pPr>
      <w:r>
        <w:rPr>
          <w:rFonts w:ascii="Calibri" w:cs="Calibri" w:eastAsia="Calibri" w:hAnsi="Calibri"/>
          <w:color w:val="1A1714"/>
          <w:sz w:val="21"/>
          <w:szCs w:val="21"/>
        </w:rPr>
        <w:t xml:space="preserve">Nothing here asks you to take our word for anything. Every claim in this document can be checked by opening a screen, running a command, or reading a file we point you to.</w:t>
      </w:r>
    </w:p>
    <w:p>
      <w:pPr>
        <w:pStyle w:val="Heading2"/>
        <w:spacing w:after="110" w:before="240"/>
      </w:pPr>
      <w:r>
        <w:rPr>
          <w:rFonts w:ascii="Calibri" w:cs="Calibri" w:eastAsia="Calibri" w:hAnsi="Calibri"/>
          <w:b/>
          <w:bCs/>
          <w:color w:val="8A5A20"/>
          <w:sz w:val="22"/>
          <w:szCs w:val="22"/>
        </w:rPr>
        <w:t xml:space="preserve">Access details</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3200"/>
        <w:gridCol w:w="6160"/>
      </w:tblGrid>
      <w:tr>
        <w:tc>
          <w:tcPr>
            <w:tcW w:type="dxa" w:w="3200"/>
            <w:shd w:fill="FBF4E6" w:color="auto" w:val="clear"/>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Live demonstration</w:t>
            </w:r>
          </w:p>
        </w:tc>
        <w:tc>
          <w:tcPr>
            <w:tcW w:type="dxa" w:w="6160"/>
            <w:shd w:fill="FBF4E6" w:color="auto" w:val="clear"/>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FILL IN — e.g. http://203.0.113.10</w:t>
            </w:r>
          </w:p>
        </w:tc>
      </w:tr>
      <w:tr>
        <w:tc>
          <w:tcPr>
            <w:tcW w:type="dxa" w:w="3200"/>
            <w:shd w:fill="FBF4E6" w:color="auto" w:val="clear"/>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Demonstration login</w:t>
            </w:r>
          </w:p>
        </w:tc>
        <w:tc>
          <w:tcPr>
            <w:tcW w:type="dxa" w:w="6160"/>
            <w:shd w:fill="FBF4E6" w:color="auto" w:val="clear"/>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alex@knori.demo  /  knori-demo-1234</w:t>
            </w:r>
          </w:p>
        </w:tc>
      </w:tr>
      <w:tr>
        <w:tc>
          <w:tcPr>
            <w:tcW w:type="dxa" w:w="3200"/>
            <w:shd w:fill="FBF4E6" w:color="auto" w:val="clear"/>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Invite code (to create your own account)</w:t>
            </w:r>
          </w:p>
        </w:tc>
        <w:tc>
          <w:tcPr>
            <w:tcW w:type="dxa" w:w="6160"/>
            <w:shd w:fill="FBF4E6" w:color="auto" w:val="clear"/>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FILL IN — printed by the installer</w:t>
            </w:r>
          </w:p>
        </w:tc>
      </w:tr>
      <w:tr>
        <w:tc>
          <w:tcPr>
            <w:tcW w:type="dxa" w:w="3200"/>
            <w:shd w:fill="FBF4E6" w:color="auto" w:val="clear"/>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Source code</w:t>
            </w:r>
          </w:p>
        </w:tc>
        <w:tc>
          <w:tcPr>
            <w:tcW w:type="dxa" w:w="6160"/>
            <w:shd w:fill="FBF4E6" w:color="auto" w:val="clear"/>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FILL IN — repository URL, branch: client-demo</w:t>
            </w:r>
          </w:p>
        </w:tc>
      </w:tr>
      <w:tr>
        <w:tc>
          <w:tcPr>
            <w:tcW w:type="dxa" w:w="3200"/>
            <w:shd w:fill="FBF4E6" w:color="auto" w:val="clear"/>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Interactive API documentation</w:t>
            </w:r>
          </w:p>
        </w:tc>
        <w:tc>
          <w:tcPr>
            <w:tcW w:type="dxa" w:w="6160"/>
            <w:shd w:fill="FBF4E6" w:color="auto" w:val="clear"/>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FILL IN — the demo address, then /docs</w:t>
            </w:r>
          </w:p>
        </w:tc>
      </w:tr>
      <w:tr>
        <w:tc>
          <w:tcPr>
            <w:tcW w:type="dxa" w:w="3200"/>
            <w:shd w:fill="FBF4E6" w:color="auto" w:val="clear"/>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Your contact for this review</w:t>
            </w:r>
          </w:p>
        </w:tc>
        <w:tc>
          <w:tcPr>
            <w:tcW w:type="dxa" w:w="6160"/>
            <w:shd w:fill="FBF4E6" w:color="auto" w:val="clear"/>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FILL IN — name, email</w:t>
            </w:r>
          </w:p>
        </w:tc>
      </w:tr>
    </w:tbl>
    <w:p>
      <w:pPr>
        <w:spacing w:after="0"/>
      </w:pPr>
      <w:r>
        <w:t xml:space="preserve"/>
      </w:r>
    </w:p>
    <w:p>
      <w:pPr>
        <w:spacing w:after="120" w:line="288"/>
      </w:pPr>
      <w:r>
        <w:rPr>
          <w:rFonts w:ascii="Calibri" w:cs="Calibri" w:eastAsia="Calibri" w:hAnsi="Calibri"/>
          <w:color w:val="5A544C"/>
          <w:sz w:val="19"/>
          <w:szCs w:val="19"/>
        </w:rPr>
        <w:t xml:space="preserve">Date of this pack: 15 October 2026. Everything stated here was checked on that date.</w:t>
      </w:r>
    </w:p>
    <w:p>
      <w:r>
        <w:br w:type="page"/>
      </w:r>
    </w:p>
    <w:p>
      <w:pPr>
        <w:pStyle w:val="Heading1"/>
        <w:spacing w:after="150" w:before="360"/>
      </w:pPr>
      <w:r>
        <w:rPr>
          <w:rFonts w:ascii="Georgia" w:cs="Georgia" w:eastAsia="Georgia" w:hAnsi="Georgia"/>
          <w:b/>
          <w:bCs/>
          <w:color w:val="1A1714"/>
          <w:sz w:val="28"/>
          <w:szCs w:val="28"/>
        </w:rPr>
        <w:t xml:space="preserve">1.  Source code and a working development environment</w:t>
      </w:r>
    </w:p>
    <w:p>
      <w:pPr>
        <w:spacing w:after="120" w:line="288"/>
      </w:pPr>
      <w:r>
        <w:rPr>
          <w:rFonts w:ascii="Calibri" w:cs="Calibri" w:eastAsia="Calibri" w:hAnsi="Calibri"/>
          <w:color w:val="1A1714"/>
          <w:sz w:val="21"/>
          <w:szCs w:val="21"/>
        </w:rPr>
        <w:t xml:space="preserve">The full repository is yours to review, on the branch named client-demo. It contains the application, its tests, its deployment scripts and its documentation — nothing is held back and there is no separate internal copy.</w:t>
      </w:r>
    </w:p>
    <w:p>
      <w:pPr>
        <w:pStyle w:val="Heading2"/>
        <w:spacing w:after="110" w:before="240"/>
      </w:pPr>
      <w:r>
        <w:rPr>
          <w:rFonts w:ascii="Calibri" w:cs="Calibri" w:eastAsia="Calibri" w:hAnsi="Calibri"/>
          <w:b/>
          <w:bCs/>
          <w:color w:val="8A5A20"/>
          <w:sz w:val="22"/>
          <w:szCs w:val="22"/>
        </w:rPr>
        <w:t xml:space="preserve">Running it yourself</w:t>
      </w:r>
    </w:p>
    <w:p>
      <w:pPr>
        <w:spacing w:after="120" w:line="288"/>
      </w:pPr>
      <w:r>
        <w:rPr>
          <w:rFonts w:ascii="Calibri" w:cs="Calibri" w:eastAsia="Calibri" w:hAnsi="Calibri"/>
          <w:color w:val="1A1714"/>
          <w:sz w:val="21"/>
          <w:szCs w:val="21"/>
        </w:rPr>
        <w:t xml:space="preserve">Rasel, or anyone on your side, can have the whole product running locally in about ten minutes. You need Docker, Python 3.12 or newer, and Node.js 22 or newer.</w:t>
      </w:r>
    </w:p>
    <w:p>
      <w:pPr>
        <w:pBdr>
          <w:left w:val="single" w:color="8A5A20" w:sz="12" w:space="8"/>
        </w:pBdr>
        <w:shd w:fill="F3EFE8" w:color="auto" w:val="clear"/>
        <w:spacing w:after="140" w:before="100"/>
        <w:ind w:left="120"/>
      </w:pPr>
      <w:r>
        <w:rPr>
          <w:rFonts w:ascii="Consolas" w:cs="Consolas" w:eastAsia="Consolas" w:hAnsi="Consolas"/>
          <w:color w:val="1A1714"/>
          <w:sz w:val="18"/>
          <w:szCs w:val="18"/>
        </w:rPr>
        <w:t xml:space="preserve">git clone &lt;repository URL&gt;</w:t>
      </w:r>
      <w:r>
        <w:br/>
      </w:r>
      <w:r>
        <w:rPr>
          <w:rFonts w:ascii="Consolas" w:cs="Consolas" w:eastAsia="Consolas" w:hAnsi="Consolas"/>
          <w:color w:val="1A1714"/>
          <w:sz w:val="18"/>
          <w:szCs w:val="18"/>
        </w:rPr>
        <w:t xml:space="preserve">cd knori-project</w:t>
      </w:r>
      <w:r>
        <w:br/>
      </w:r>
      <w:r>
        <w:rPr>
          <w:rFonts w:ascii="Consolas" w:cs="Consolas" w:eastAsia="Consolas" w:hAnsi="Consolas"/>
          <w:color w:val="1A1714"/>
          <w:sz w:val="18"/>
          <w:szCs w:val="18"/>
        </w:rPr>
        <w:t xml:space="preserve">git checkout client-demo</w:t>
      </w:r>
      <w:r>
        <w:br/>
      </w:r>
      <w:r>
        <w:rPr>
          <w:rFonts w:ascii="Consolas" w:cs="Consolas" w:eastAsia="Consolas" w:hAnsi="Consolas"/>
          <w:color w:val="1A1714"/>
          <w:sz w:val="18"/>
          <w:szCs w:val="18"/>
        </w:rPr>
        <w:t xml:space="preserve"/>
      </w:r>
      <w:r>
        <w:br/>
      </w:r>
      <w:r>
        <w:rPr>
          <w:rFonts w:ascii="Consolas" w:cs="Consolas" w:eastAsia="Consolas" w:hAnsi="Consolas"/>
          <w:color w:val="1A1714"/>
          <w:sz w:val="18"/>
          <w:szCs w:val="18"/>
        </w:rPr>
        <w:t xml:space="preserve">./run setup        # dependencies and configuration</w:t>
      </w:r>
      <w:r>
        <w:br/>
      </w:r>
      <w:r>
        <w:rPr>
          <w:rFonts w:ascii="Consolas" w:cs="Consolas" w:eastAsia="Consolas" w:hAnsi="Consolas"/>
          <w:color w:val="1A1714"/>
          <w:sz w:val="18"/>
          <w:szCs w:val="18"/>
        </w:rPr>
        <w:t xml:space="preserve">./run db           # database</w:t>
      </w:r>
      <w:r>
        <w:br/>
      </w:r>
      <w:r>
        <w:rPr>
          <w:rFonts w:ascii="Consolas" w:cs="Consolas" w:eastAsia="Consolas" w:hAnsi="Consolas"/>
          <w:color w:val="1A1714"/>
          <w:sz w:val="18"/>
          <w:szCs w:val="18"/>
        </w:rPr>
        <w:t xml:space="preserve">./run migrate      # create the schema</w:t>
      </w:r>
      <w:r>
        <w:br/>
      </w:r>
      <w:r>
        <w:rPr>
          <w:rFonts w:ascii="Consolas" w:cs="Consolas" w:eastAsia="Consolas" w:hAnsi="Consolas"/>
          <w:color w:val="1A1714"/>
          <w:sz w:val="18"/>
          <w:szCs w:val="18"/>
        </w:rPr>
        <w:t xml:space="preserve"/>
      </w:r>
      <w:r>
        <w:br/>
      </w:r>
      <w:r>
        <w:rPr>
          <w:rFonts w:ascii="Consolas" w:cs="Consolas" w:eastAsia="Consolas" w:hAnsi="Consolas"/>
          <w:color w:val="1A1714"/>
          <w:sz w:val="18"/>
          <w:szCs w:val="18"/>
        </w:rPr>
        <w:t xml:space="preserve"># then three terminals:</w:t>
      </w:r>
      <w:r>
        <w:br/>
      </w:r>
      <w:r>
        <w:rPr>
          <w:rFonts w:ascii="Consolas" w:cs="Consolas" w:eastAsia="Consolas" w:hAnsi="Consolas"/>
          <w:color w:val="1A1714"/>
          <w:sz w:val="18"/>
          <w:szCs w:val="18"/>
        </w:rPr>
        <w:t xml:space="preserve">./run api          # http://localhost:8000</w:t>
      </w:r>
      <w:r>
        <w:br/>
      </w:r>
      <w:r>
        <w:rPr>
          <w:rFonts w:ascii="Consolas" w:cs="Consolas" w:eastAsia="Consolas" w:hAnsi="Consolas"/>
          <w:color w:val="1A1714"/>
          <w:sz w:val="18"/>
          <w:szCs w:val="18"/>
        </w:rPr>
        <w:t xml:space="preserve">./run worker       # background processing</w:t>
      </w:r>
      <w:r>
        <w:br/>
      </w:r>
      <w:r>
        <w:rPr>
          <w:rFonts w:ascii="Consolas" w:cs="Consolas" w:eastAsia="Consolas" w:hAnsi="Consolas"/>
          <w:color w:val="1A1714"/>
          <w:sz w:val="18"/>
          <w:szCs w:val="18"/>
        </w:rPr>
        <w:t xml:space="preserve">./run web          # http://localhost:3000</w:t>
      </w:r>
      <w:r>
        <w:br/>
      </w:r>
      <w:r>
        <w:rPr>
          <w:rFonts w:ascii="Consolas" w:cs="Consolas" w:eastAsia="Consolas" w:hAnsi="Consolas"/>
          <w:color w:val="1A1714"/>
          <w:sz w:val="18"/>
          <w:szCs w:val="18"/>
        </w:rPr>
        <w:t xml:space="preserve"/>
      </w:r>
      <w:r>
        <w:br/>
      </w:r>
      <w:r>
        <w:rPr>
          <w:rFonts w:ascii="Consolas" w:cs="Consolas" w:eastAsia="Consolas" w:hAnsi="Consolas"/>
          <w:color w:val="1A1714"/>
          <w:sz w:val="18"/>
          <w:szCs w:val="18"/>
        </w:rPr>
        <w:t xml:space="preserve">./run seed alex    # a demonstration account with history already in it</w:t>
      </w:r>
    </w:p>
    <w:p>
      <w:pPr>
        <w:spacing w:after="120" w:line="288"/>
      </w:pPr>
      <w:r>
        <w:rPr>
          <w:rFonts w:ascii="Calibri" w:cs="Calibri" w:eastAsia="Calibri" w:hAnsi="Calibri"/>
          <w:b/>
          <w:bCs/>
          <w:color w:val="1A1714"/>
          <w:sz w:val="21"/>
          <w:szCs w:val="21"/>
        </w:rPr>
        <w:t xml:space="preserve">No API key is required.</w:t>
      </w:r>
      <w:r>
        <w:rPr>
          <w:rFonts w:ascii="Calibri" w:cs="Calibri" w:eastAsia="Calibri" w:hAnsi="Calibri"/>
          <w:color w:val="1A1714"/>
          <w:sz w:val="21"/>
          <w:szCs w:val="21"/>
        </w:rPr>
        <w:t xml:space="preserve"> The product ships with a built-in substitute model provider, so the whole thing runs offline and costs nothing. Section 2 explains what that means for what you will see.</w:t>
      </w:r>
    </w:p>
    <w:p>
      <w:pPr>
        <w:pStyle w:val="Heading1"/>
        <w:spacing w:after="150" w:before="360"/>
      </w:pPr>
      <w:r>
        <w:rPr>
          <w:rFonts w:ascii="Georgia" w:cs="Georgia" w:eastAsia="Georgia" w:hAnsi="Georgia"/>
          <w:b/>
          <w:bCs/>
          <w:color w:val="1A1714"/>
          <w:sz w:val="28"/>
          <w:szCs w:val="28"/>
        </w:rPr>
        <w:t xml:space="preserve">2.  A demonstration you can test yourselves</w:t>
      </w:r>
    </w:p>
    <w:p>
      <w:pPr>
        <w:spacing w:after="120" w:line="288"/>
      </w:pPr>
      <w:r>
        <w:rPr>
          <w:rFonts w:ascii="Calibri" w:cs="Calibri" w:eastAsia="Calibri" w:hAnsi="Calibri"/>
          <w:color w:val="1A1714"/>
          <w:sz w:val="21"/>
          <w:szCs w:val="21"/>
        </w:rPr>
        <w:t xml:space="preserve">A live instance is running at the address in the table above. Sign in with the demonstration login, or create your own account with the invite code. Both are real accounts on a real instance; nothing is mocked in the interface.</w:t>
      </w:r>
    </w:p>
    <w:p>
      <w:pPr>
        <w:pStyle w:val="Heading2"/>
        <w:spacing w:after="110" w:before="240"/>
      </w:pPr>
      <w:r>
        <w:rPr>
          <w:rFonts w:ascii="Calibri" w:cs="Calibri" w:eastAsia="Calibri" w:hAnsi="Calibri"/>
          <w:b/>
          <w:bCs/>
          <w:color w:val="8A5A20"/>
          <w:sz w:val="22"/>
          <w:szCs w:val="22"/>
        </w:rPr>
        <w:t xml:space="preserve">Read this first: why the replies sound mechanical</w:t>
      </w:r>
    </w:p>
    <w:p>
      <w:pPr>
        <w:spacing w:after="120" w:line="288"/>
      </w:pPr>
      <w:r>
        <w:rPr>
          <w:rFonts w:ascii="Calibri" w:cs="Calibri" w:eastAsia="Calibri" w:hAnsi="Calibri"/>
          <w:color w:val="1A1714"/>
          <w:sz w:val="21"/>
          <w:szCs w:val="21"/>
        </w:rPr>
        <w:t xml:space="preserve">The demonstration runs on the built-in substitute provider, not on Claude. It exercises every part of the system — the conversation streams, quotations are extracted from your real words, the engine scores and decides, cards appear with their evidence, corrections take effect — but the sentences it writes are assembled from templates rather than by a language model.</w:t>
      </w:r>
    </w:p>
    <w:p>
      <w:pPr>
        <w:spacing w:after="120" w:line="288"/>
      </w:pPr>
      <w:r>
        <w:rPr>
          <w:rFonts w:ascii="Calibri" w:cs="Calibri" w:eastAsia="Calibri" w:hAnsi="Calibri"/>
          <w:b/>
          <w:bCs/>
          <w:color w:val="1A1714"/>
          <w:sz w:val="21"/>
          <w:szCs w:val="21"/>
        </w:rPr>
        <w:t xml:space="preserve">This is deliberate and reversible.</w:t>
      </w:r>
      <w:r>
        <w:rPr>
          <w:rFonts w:ascii="Calibri" w:cs="Calibri" w:eastAsia="Calibri" w:hAnsi="Calibri"/>
          <w:color w:val="1A1714"/>
          <w:sz w:val="21"/>
          <w:szCs w:val="21"/>
        </w:rPr>
        <w:t xml:space="preserve"> It keeps the demonstration free to run and identical every time, which is what you want when you are verifying behaviour. Give us an Anthropic API key and one configuration line switches the same instance onto Claude, with no code change. We would rather show you the machinery working honestly than a polished reply that hides it.</w:t>
      </w:r>
    </w:p>
    <w:p>
      <w:pPr>
        <w:pStyle w:val="Heading2"/>
        <w:spacing w:after="110" w:before="240"/>
      </w:pPr>
      <w:r>
        <w:rPr>
          <w:rFonts w:ascii="Calibri" w:cs="Calibri" w:eastAsia="Calibri" w:hAnsi="Calibri"/>
          <w:b/>
          <w:bCs/>
          <w:color w:val="8A5A20"/>
          <w:sz w:val="22"/>
          <w:szCs w:val="22"/>
        </w:rPr>
        <w:t xml:space="preserve">A fifteen-minute walkthrough</w:t>
      </w:r>
    </w:p>
    <w:p>
      <w:pPr>
        <w:spacing w:after="120" w:line="288"/>
      </w:pPr>
      <w:r>
        <w:rPr>
          <w:rFonts w:ascii="Calibri" w:cs="Calibri" w:eastAsia="Calibri" w:hAnsi="Calibri"/>
          <w:color w:val="1A1714"/>
          <w:sz w:val="21"/>
          <w:szCs w:val="21"/>
        </w:rPr>
        <w:t xml:space="preserve">This order matters: it follows the product's own logic.</w:t>
      </w:r>
    </w:p>
    <w:p>
      <w:pPr>
        <w:spacing w:after="90" w:line="276"/>
        <w:ind w:left="504" w:hanging="504"/>
      </w:pPr>
      <w:r>
        <w:rPr>
          <w:rFonts w:ascii="Calibri" w:cs="Calibri" w:eastAsia="Calibri" w:hAnsi="Calibri"/>
          <w:b/>
          <w:bCs/>
          <w:color w:val="8A5A20"/>
          <w:sz w:val="21"/>
          <w:szCs w:val="21"/>
        </w:rPr>
        <w:t xml:space="preserve">1. </w:t>
      </w:r>
      <w:r>
        <w:rPr>
          <w:rFonts w:ascii="Calibri" w:cs="Calibri" w:eastAsia="Calibri" w:hAnsi="Calibri"/>
          <w:color w:val="1A1714"/>
          <w:sz w:val="21"/>
          <w:szCs w:val="21"/>
        </w:rPr>
        <w:t xml:space="preserve">Open the site and read the landing page. It states the central rule in plain words: KnoRI will not claim a pattern from a single sitting.</w:t>
      </w:r>
    </w:p>
    <w:p>
      <w:pPr>
        <w:spacing w:after="90" w:line="276"/>
        <w:ind w:left="504" w:hanging="504"/>
      </w:pPr>
      <w:r>
        <w:rPr>
          <w:rFonts w:ascii="Calibri" w:cs="Calibri" w:eastAsia="Calibri" w:hAnsi="Calibri"/>
          <w:b/>
          <w:bCs/>
          <w:color w:val="8A5A20"/>
          <w:sz w:val="21"/>
          <w:szCs w:val="21"/>
        </w:rPr>
        <w:t xml:space="preserve">2. </w:t>
      </w:r>
      <w:r>
        <w:rPr>
          <w:rFonts w:ascii="Calibri" w:cs="Calibri" w:eastAsia="Calibri" w:hAnsi="Calibri"/>
          <w:color w:val="1A1714"/>
          <w:sz w:val="21"/>
          <w:szCs w:val="21"/>
        </w:rPr>
        <w:t xml:space="preserve">Create your own account with the invite code. You will be asked to confirm your email — the demonstration server catches its own mail, and the link is in the mail viewer (ask us for that login; it is deliberately separate).</w:t>
      </w:r>
    </w:p>
    <w:p>
      <w:pPr>
        <w:spacing w:after="90" w:line="276"/>
        <w:ind w:left="504" w:hanging="504"/>
      </w:pPr>
      <w:r>
        <w:rPr>
          <w:rFonts w:ascii="Calibri" w:cs="Calibri" w:eastAsia="Calibri" w:hAnsi="Calibri"/>
          <w:b/>
          <w:bCs/>
          <w:color w:val="8A5A20"/>
          <w:sz w:val="21"/>
          <w:szCs w:val="21"/>
        </w:rPr>
        <w:t xml:space="preserve">3. </w:t>
      </w:r>
      <w:r>
        <w:rPr>
          <w:rFonts w:ascii="Calibri" w:cs="Calibri" w:eastAsia="Calibri" w:hAnsi="Calibri"/>
          <w:color w:val="1A1714"/>
          <w:sz w:val="21"/>
          <w:szCs w:val="21"/>
        </w:rPr>
        <w:t xml:space="preserve">Go through onboarding. Three short questions. Notice at the end that it shows you what it noted, quoting your own words back.</w:t>
      </w:r>
    </w:p>
    <w:p>
      <w:pPr>
        <w:spacing w:after="90" w:line="276"/>
        <w:ind w:left="504" w:hanging="504"/>
      </w:pPr>
      <w:r>
        <w:rPr>
          <w:rFonts w:ascii="Calibri" w:cs="Calibri" w:eastAsia="Calibri" w:hAnsi="Calibri"/>
          <w:b/>
          <w:bCs/>
          <w:color w:val="8A5A20"/>
          <w:sz w:val="21"/>
          <w:szCs w:val="21"/>
        </w:rPr>
        <w:t xml:space="preserve">4. </w:t>
      </w:r>
      <w:r>
        <w:rPr>
          <w:rFonts w:ascii="Calibri" w:cs="Calibri" w:eastAsia="Calibri" w:hAnsi="Calibri"/>
          <w:color w:val="1A1714"/>
          <w:sz w:val="21"/>
          <w:szCs w:val="21"/>
        </w:rPr>
        <w:t xml:space="preserve">Open Memory. Everything there has a source: the message it came from and the exact sentence. Nothing is stored that cannot be shown back to you.</w:t>
      </w:r>
    </w:p>
    <w:p>
      <w:pPr>
        <w:spacing w:after="90" w:line="276"/>
        <w:ind w:left="504" w:hanging="504"/>
      </w:pPr>
      <w:r>
        <w:rPr>
          <w:rFonts w:ascii="Calibri" w:cs="Calibri" w:eastAsia="Calibri" w:hAnsi="Calibri"/>
          <w:b/>
          <w:bCs/>
          <w:color w:val="8A5A20"/>
          <w:sz w:val="21"/>
          <w:szCs w:val="21"/>
        </w:rPr>
        <w:t xml:space="preserve">5. </w:t>
      </w:r>
      <w:r>
        <w:rPr>
          <w:rFonts w:ascii="Calibri" w:cs="Calibri" w:eastAsia="Calibri" w:hAnsi="Calibri"/>
          <w:color w:val="1A1714"/>
          <w:sz w:val="21"/>
          <w:szCs w:val="21"/>
        </w:rPr>
        <w:t xml:space="preserve">Have a short conversation. Say a few things about yourself.</w:t>
      </w:r>
    </w:p>
    <w:p>
      <w:pPr>
        <w:spacing w:after="90" w:line="276"/>
        <w:ind w:left="504" w:hanging="504"/>
      </w:pPr>
      <w:r>
        <w:rPr>
          <w:rFonts w:ascii="Calibri" w:cs="Calibri" w:eastAsia="Calibri" w:hAnsi="Calibri"/>
          <w:b/>
          <w:bCs/>
          <w:color w:val="8A5A20"/>
          <w:sz w:val="21"/>
          <w:szCs w:val="21"/>
        </w:rPr>
        <w:t xml:space="preserve">6. </w:t>
      </w:r>
      <w:r>
        <w:rPr>
          <w:rFonts w:ascii="Calibri" w:cs="Calibri" w:eastAsia="Calibri" w:hAnsi="Calibri"/>
          <w:color w:val="1A1714"/>
          <w:sz w:val="21"/>
          <w:szCs w:val="21"/>
        </w:rPr>
        <w:t xml:space="preserve">Now sign out and sign in as the demonstration account, which already has history across several days. Open Recognitions.</w:t>
      </w:r>
    </w:p>
    <w:p>
      <w:pPr>
        <w:spacing w:after="90" w:line="276"/>
        <w:ind w:left="504" w:hanging="504"/>
      </w:pPr>
      <w:r>
        <w:rPr>
          <w:rFonts w:ascii="Calibri" w:cs="Calibri" w:eastAsia="Calibri" w:hAnsi="Calibri"/>
          <w:b/>
          <w:bCs/>
          <w:color w:val="8A5A20"/>
          <w:sz w:val="21"/>
          <w:szCs w:val="21"/>
        </w:rPr>
        <w:t xml:space="preserve">7. </w:t>
      </w:r>
      <w:r>
        <w:rPr>
          <w:rFonts w:ascii="Calibri" w:cs="Calibri" w:eastAsia="Calibri" w:hAnsi="Calibri"/>
          <w:color w:val="1A1714"/>
          <w:sz w:val="21"/>
          <w:szCs w:val="21"/>
        </w:rPr>
        <w:t xml:space="preserve">Open a card. Read 'Why KnoRI thinks this', then the quotations underneath, each with its date and a link back into the conversation it came from. Click one of those links: it scrolls to the message and highlights the exact characters.</w:t>
      </w:r>
    </w:p>
    <w:p>
      <w:pPr>
        <w:spacing w:after="90" w:line="276"/>
        <w:ind w:left="504" w:hanging="504"/>
      </w:pPr>
      <w:r>
        <w:rPr>
          <w:rFonts w:ascii="Calibri" w:cs="Calibri" w:eastAsia="Calibri" w:hAnsi="Calibri"/>
          <w:b/>
          <w:bCs/>
          <w:color w:val="8A5A20"/>
          <w:sz w:val="21"/>
          <w:szCs w:val="21"/>
        </w:rPr>
        <w:t xml:space="preserve">8. </w:t>
      </w:r>
      <w:r>
        <w:rPr>
          <w:rFonts w:ascii="Calibri" w:cs="Calibri" w:eastAsia="Calibri" w:hAnsi="Calibri"/>
          <w:color w:val="1A1714"/>
          <w:sz w:val="21"/>
          <w:szCs w:val="21"/>
        </w:rPr>
        <w:t xml:space="preserve">Correct it. Choose 'Not quite' and write what is actually true. Watch what happens: your correction is recorded as a claim the system must respect, the card updates, and the panel shows what changed. The history below lists every step, including yours.</w:t>
      </w:r>
    </w:p>
    <w:p>
      <w:pPr>
        <w:spacing w:after="90" w:line="276"/>
        <w:ind w:left="504" w:hanging="504"/>
      </w:pPr>
      <w:r>
        <w:rPr>
          <w:rFonts w:ascii="Calibri" w:cs="Calibri" w:eastAsia="Calibri" w:hAnsi="Calibri"/>
          <w:b/>
          <w:bCs/>
          <w:color w:val="8A5A20"/>
          <w:sz w:val="21"/>
          <w:szCs w:val="21"/>
        </w:rPr>
        <w:t xml:space="preserve">9. </w:t>
      </w:r>
      <w:r>
        <w:rPr>
          <w:rFonts w:ascii="Calibri" w:cs="Calibri" w:eastAsia="Calibri" w:hAnsi="Calibri"/>
          <w:color w:val="1A1714"/>
          <w:sz w:val="21"/>
          <w:szCs w:val="21"/>
        </w:rPr>
        <w:t xml:space="preserve">Go to Settings and switch Recognition off. The engine stops working, not just the display. Export your data: one file with everything. Delete the account: it holds for 24 hours so you can undo it, then removes every trace.</w:t>
      </w:r>
    </w:p>
    <w:p>
      <w:pPr>
        <w:pStyle w:val="Heading2"/>
        <w:spacing w:after="110" w:before="240"/>
      </w:pPr>
      <w:r>
        <w:rPr>
          <w:rFonts w:ascii="Calibri" w:cs="Calibri" w:eastAsia="Calibri" w:hAnsi="Calibri"/>
          <w:b/>
          <w:bCs/>
          <w:color w:val="8A5A20"/>
          <w:sz w:val="22"/>
          <w:szCs w:val="22"/>
        </w:rPr>
        <w:t xml:space="preserve">What to try to break</w:t>
      </w:r>
    </w:p>
    <w:p>
      <w:pPr>
        <w:pStyle w:val="ListParagraph"/>
        <w:numPr>
          <w:ilvl w:val="0"/>
          <w:numId w:val="2"/>
        </w:numPr>
        <w:spacing w:after="70" w:line="276"/>
      </w:pPr>
      <w:r>
        <w:rPr>
          <w:rFonts w:ascii="Calibri" w:cs="Calibri" w:eastAsia="Calibri" w:hAnsi="Calibri"/>
          <w:color w:val="1A1714"/>
          <w:sz w:val="21"/>
          <w:szCs w:val="21"/>
        </w:rPr>
        <w:t xml:space="preserve">Say something once and check that no Recognition appears from it. One sitting is never enough.</w:t>
      </w:r>
    </w:p>
    <w:p>
      <w:pPr>
        <w:pStyle w:val="ListParagraph"/>
        <w:numPr>
          <w:ilvl w:val="0"/>
          <w:numId w:val="2"/>
        </w:numPr>
        <w:spacing w:after="70" w:line="276"/>
      </w:pPr>
      <w:r>
        <w:rPr>
          <w:rFonts w:ascii="Calibri" w:cs="Calibri" w:eastAsia="Calibri" w:hAnsi="Calibri"/>
          <w:color w:val="1A1714"/>
          <w:sz w:val="21"/>
          <w:szCs w:val="21"/>
        </w:rPr>
        <w:t xml:space="preserve">Quote somebody else — "my brother always says…" — and check KnoRI does not attribute it to you.</w:t>
      </w:r>
    </w:p>
    <w:p>
      <w:pPr>
        <w:pStyle w:val="ListParagraph"/>
        <w:numPr>
          <w:ilvl w:val="0"/>
          <w:numId w:val="2"/>
        </w:numPr>
        <w:spacing w:after="70" w:line="276"/>
      </w:pPr>
      <w:r>
        <w:rPr>
          <w:rFonts w:ascii="Calibri" w:cs="Calibri" w:eastAsia="Calibri" w:hAnsi="Calibri"/>
          <w:color w:val="1A1714"/>
          <w:sz w:val="21"/>
          <w:szCs w:val="21"/>
        </w:rPr>
        <w:t xml:space="preserve">Mention something sensitive. KnoRI will remember what you said if you asked it to, but it will not build a claim about you from it.</w:t>
      </w:r>
    </w:p>
    <w:p>
      <w:pPr>
        <w:pStyle w:val="ListParagraph"/>
        <w:numPr>
          <w:ilvl w:val="0"/>
          <w:numId w:val="2"/>
        </w:numPr>
        <w:spacing w:after="70" w:line="276"/>
      </w:pPr>
      <w:r>
        <w:rPr>
          <w:rFonts w:ascii="Calibri" w:cs="Calibri" w:eastAsia="Calibri" w:hAnsi="Calibri"/>
          <w:color w:val="1A1714"/>
          <w:sz w:val="21"/>
          <w:szCs w:val="21"/>
        </w:rPr>
        <w:t xml:space="preserve">Reject a card, then keep talking about the same thing. The same claim should not come back.</w:t>
      </w:r>
    </w:p>
    <w:p>
      <w:pPr>
        <w:pStyle w:val="ListParagraph"/>
        <w:numPr>
          <w:ilvl w:val="0"/>
          <w:numId w:val="2"/>
        </w:numPr>
        <w:spacing w:after="70" w:line="276"/>
      </w:pPr>
      <w:r>
        <w:rPr>
          <w:rFonts w:ascii="Calibri" w:cs="Calibri" w:eastAsia="Calibri" w:hAnsi="Calibri"/>
          <w:color w:val="1A1714"/>
          <w:sz w:val="21"/>
          <w:szCs w:val="21"/>
        </w:rPr>
        <w:t xml:space="preserve">Open another account's card by changing the address bar. You should get 'not found', not 'forbidden' — we do not confirm that other people's records exist.</w:t>
      </w:r>
    </w:p>
    <w:p>
      <w:pPr>
        <w:spacing w:after="120" w:line="288"/>
      </w:pPr>
      <w:r>
        <w:rPr>
          <w:rFonts w:ascii="Calibri" w:cs="Calibri" w:eastAsia="Calibri" w:hAnsi="Calibri"/>
          <w:i/>
          <w:iCs/>
          <w:color w:val="5A544C"/>
          <w:sz w:val="21"/>
          <w:szCs w:val="21"/>
        </w:rPr>
        <w:t xml:space="preserve">If anything behaves differently from this, tell us and we will treat it as a defect. Please include the reference shown in any error message; it matches a line in our logs.</w:t>
      </w:r>
    </w:p>
    <w:p>
      <w:r>
        <w:br w:type="page"/>
      </w:r>
    </w:p>
    <w:p>
      <w:pPr>
        <w:pStyle w:val="Heading1"/>
        <w:spacing w:after="150" w:before="360"/>
      </w:pPr>
      <w:r>
        <w:rPr>
          <w:rFonts w:ascii="Georgia" w:cs="Georgia" w:eastAsia="Georgia" w:hAnsi="Georgia"/>
          <w:b/>
          <w:bCs/>
          <w:color w:val="1A1714"/>
          <w:sz w:val="28"/>
          <w:szCs w:val="28"/>
        </w:rPr>
        <w:t xml:space="preserve">3.  Documentation</w:t>
      </w:r>
    </w:p>
    <w:p>
      <w:pPr>
        <w:spacing w:after="120" w:line="288"/>
      </w:pPr>
      <w:r>
        <w:rPr>
          <w:rFonts w:ascii="Calibri" w:cs="Calibri" w:eastAsia="Calibri" w:hAnsi="Calibri"/>
          <w:color w:val="1A1714"/>
          <w:sz w:val="21"/>
          <w:szCs w:val="21"/>
        </w:rPr>
        <w:t xml:space="preserve">All of it is in the repository, in the docs folder. The first four were written for this review specifically.</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3700"/>
        <w:gridCol w:w="5660"/>
      </w:tblGrid>
      <w:tr>
        <w:trPr>
          <w:tblHeader/>
        </w:trPr>
        <w:tc>
          <w:tcPr>
            <w:tcW w:type="dxa" w:w="3700"/>
            <w:shd w:fill="F3EFE8" w:color="auto" w:val="clear"/>
            <w:tcMar>
              <w:top w:type="dxa" w:w="85"/>
              <w:left w:type="dxa" w:w="115"/>
              <w:bottom w:type="dxa" w:w="85"/>
              <w:right w:type="dxa" w:w="115"/>
            </w:tcMar>
          </w:tcPr>
          <w:p>
            <w:pPr>
              <w:spacing w:after="0" w:line="264"/>
            </w:pPr>
            <w:r>
              <w:rPr>
                <w:rFonts w:ascii="Calibri" w:cs="Calibri" w:eastAsia="Calibri" w:hAnsi="Calibri"/>
                <w:b/>
                <w:bCs/>
                <w:color w:val="1A1714"/>
                <w:sz w:val="19"/>
                <w:szCs w:val="19"/>
              </w:rPr>
              <w:t xml:space="preserve">Document</w:t>
            </w:r>
          </w:p>
        </w:tc>
        <w:tc>
          <w:tcPr>
            <w:tcW w:type="dxa" w:w="5660"/>
            <w:shd w:fill="F3EFE8" w:color="auto" w:val="clear"/>
            <w:tcMar>
              <w:top w:type="dxa" w:w="85"/>
              <w:left w:type="dxa" w:w="115"/>
              <w:bottom w:type="dxa" w:w="85"/>
              <w:right w:type="dxa" w:w="115"/>
            </w:tcMar>
          </w:tcPr>
          <w:p>
            <w:pPr>
              <w:spacing w:after="0" w:line="264"/>
            </w:pPr>
            <w:r>
              <w:rPr>
                <w:rFonts w:ascii="Calibri" w:cs="Calibri" w:eastAsia="Calibri" w:hAnsi="Calibri"/>
                <w:b/>
                <w:bCs/>
                <w:color w:val="1A1714"/>
                <w:sz w:val="19"/>
                <w:szCs w:val="19"/>
              </w:rPr>
              <w:t xml:space="preserve">What it answers</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docs/client-review/00-START-HERE.md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The index to this review, in more depth than this document</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docs/client-review/01-MILESTONE-1-COMPONENT-MAP.md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Every promised item mapped to the file, endpoint or screen that implements it, and the command that proves it works</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docs/client-review/02-DEMONSTRATION-AND-TESTING-GUIDE.md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The walkthrough above, in full, plus how to run it yourselves</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docs/client-review/03-VERIFICATION-REPORT.md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The test suites, run and recorded, and what is not covered</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docs/client-review/04-OUTSTANDING-AND-NEXT-STEPS.md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What is finished, what is built but unexercised, what is out of scope</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docs/client-review/05-INTEGRATION-GUIDE.md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Written for Rasel — see section 5</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docs/client-review/06-DESIGN-SYSTEM-REFERENCE.md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Every colour, type size, component and prop in the interface</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docs/ARCHITECTURE.md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How the system is put together, and why</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docs/RECOGNITION.md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The engine: the loop, the confidence formula, every rule, in plain language</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docs/API.md and docs/api/openapi.json</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Every endpoint; the second is machine-readable and exported from the running application</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docs/TESTING.md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What each layer of testing covers</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docs/RUNBOOK.md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Day-to-day operation: logs, queues, common failures, backups</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docs/HANDOVER.md and docs/ACCEPTANCE.md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The handover checklist, and one row per agreed outcome</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docs/DEPENDENCIES.md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Every third-party component, its licence, and why it is there</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docs/adr/</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Six records of the decisions that shaped the system, each with what it cost</w:t>
            </w:r>
          </w:p>
        </w:tc>
      </w:tr>
    </w:tbl>
    <w:p>
      <w:pPr>
        <w:pStyle w:val="Heading1"/>
        <w:spacing w:after="150" w:before="360"/>
      </w:pPr>
      <w:r>
        <w:rPr>
          <w:rFonts w:ascii="Georgia" w:cs="Georgia" w:eastAsia="Georgia" w:hAnsi="Georgia"/>
          <w:b/>
          <w:bCs/>
          <w:color w:val="1A1714"/>
          <w:sz w:val="28"/>
          <w:szCs w:val="28"/>
        </w:rPr>
        <w:t xml:space="preserve">4.  How this satisfies Milestone 1, and what remains</w:t>
      </w:r>
    </w:p>
    <w:p>
      <w:pPr>
        <w:pStyle w:val="Heading2"/>
        <w:spacing w:after="110" w:before="240"/>
      </w:pPr>
      <w:r>
        <w:rPr>
          <w:rFonts w:ascii="Calibri" w:cs="Calibri" w:eastAsia="Calibri" w:hAnsi="Calibri"/>
          <w:b/>
          <w:bCs/>
          <w:color w:val="8A5A20"/>
          <w:sz w:val="22"/>
          <w:szCs w:val="22"/>
        </w:rPr>
        <w:t xml:space="preserve">What was delivered</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2300"/>
        <w:gridCol w:w="7060"/>
      </w:tblGrid>
      <w:tr>
        <w:trPr>
          <w:tblHeader/>
        </w:trPr>
        <w:tc>
          <w:tcPr>
            <w:tcW w:type="dxa" w:w="2300"/>
            <w:shd w:fill="F3EFE8" w:color="auto" w:val="clear"/>
            <w:tcMar>
              <w:top w:type="dxa" w:w="85"/>
              <w:left w:type="dxa" w:w="115"/>
              <w:bottom w:type="dxa" w:w="85"/>
              <w:right w:type="dxa" w:w="115"/>
            </w:tcMar>
          </w:tcPr>
          <w:p>
            <w:pPr>
              <w:spacing w:after="0" w:line="264"/>
            </w:pPr>
            <w:r>
              <w:rPr>
                <w:rFonts w:ascii="Calibri" w:cs="Calibri" w:eastAsia="Calibri" w:hAnsi="Calibri"/>
                <w:b/>
                <w:bCs/>
                <w:color w:val="1A1714"/>
                <w:sz w:val="19"/>
                <w:szCs w:val="19"/>
              </w:rPr>
              <w:t xml:space="preserve">Agreed area</w:t>
            </w:r>
          </w:p>
        </w:tc>
        <w:tc>
          <w:tcPr>
            <w:tcW w:type="dxa" w:w="7060"/>
            <w:shd w:fill="F3EFE8" w:color="auto" w:val="clear"/>
            <w:tcMar>
              <w:top w:type="dxa" w:w="85"/>
              <w:left w:type="dxa" w:w="115"/>
              <w:bottom w:type="dxa" w:w="85"/>
              <w:right w:type="dxa" w:w="115"/>
            </w:tcMar>
          </w:tcPr>
          <w:p>
            <w:pPr>
              <w:spacing w:after="0" w:line="264"/>
            </w:pPr>
            <w:r>
              <w:rPr>
                <w:rFonts w:ascii="Calibri" w:cs="Calibri" w:eastAsia="Calibri" w:hAnsi="Calibri"/>
                <w:b/>
                <w:bCs/>
                <w:color w:val="1A1714"/>
                <w:sz w:val="19"/>
                <w:szCs w:val="19"/>
              </w:rPr>
              <w:t xml:space="preserve">Delivered</w:t>
            </w:r>
          </w:p>
        </w:tc>
      </w:tr>
      <w:tr>
        <w:tc>
          <w:tcPr>
            <w:tcW w:type="dxa" w:w="23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Product Foundation</w:t>
            </w:r>
          </w:p>
        </w:tc>
        <w:tc>
          <w:tcPr>
            <w:tcW w:type="dxa" w:w="70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Sign-up with invites, email verification, sessions, account management, data export, account deletion with a grace period, user profile, three-step onboarding, settings and privacy controls</w:t>
            </w:r>
          </w:p>
        </w:tc>
      </w:tr>
      <w:tr>
        <w:tc>
          <w:tcPr>
            <w:tcW w:type="dxa" w:w="23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Persistent Context and Memory</w:t>
            </w:r>
          </w:p>
        </w:tc>
        <w:tc>
          <w:tcPr>
            <w:tcW w:type="dxa" w:w="70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Conversation history, structured memory with a quotation behind every item, retrieval across conversations, a written profile of the person, continuity when they return</w:t>
            </w:r>
          </w:p>
        </w:tc>
      </w:tr>
      <w:tr>
        <w:tc>
          <w:tcPr>
            <w:tcW w:type="dxa" w:w="23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Recognition Engine v1</w:t>
            </w:r>
          </w:p>
        </w:tc>
        <w:tc>
          <w:tcPr>
            <w:tcW w:type="dxa" w:w="70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The full loop: signal, evidence, interpretation, confidence, threshold, Recognition, provenance, correction, updated understanding — and a written record of every decision not to show something, with the rule that blocked it</w:t>
            </w:r>
          </w:p>
        </w:tc>
      </w:tr>
      <w:tr>
        <w:tc>
          <w:tcPr>
            <w:tcW w:type="dxa" w:w="23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Recognition Experience</w:t>
            </w:r>
          </w:p>
        </w:tc>
        <w:tc>
          <w:tcPr>
            <w:tcW w:type="dxa" w:w="70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The card, its evidence with dates and links, confidence in plain words, accept, correct, reject, dismiss, and a panel showing what a correction changed</w:t>
            </w:r>
          </w:p>
        </w:tc>
      </w:tr>
      <w:tr>
        <w:tc>
          <w:tcPr>
            <w:tcW w:type="dxa" w:w="23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Conversational Experience</w:t>
            </w:r>
          </w:p>
        </w:tc>
        <w:tc>
          <w:tcPr>
            <w:tcW w:type="dxa" w:w="70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Streaming conversation that uses memory and knows about existing cards, and which never asserts a new claim about the person in prose</w:t>
            </w:r>
          </w:p>
        </w:tc>
      </w:tr>
      <w:tr>
        <w:tc>
          <w:tcPr>
            <w:tcW w:type="dxa" w:w="23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ROS Foundation</w:t>
            </w:r>
          </w:p>
        </w:tc>
        <w:tc>
          <w:tcPr>
            <w:tcW w:type="dxa" w:w="70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Signal, evidence and interpretation as separate layers; the confidence model; the threshold mechanism; the memory interface; model abstraction with a second provider selectable by configuration</w:t>
            </w:r>
          </w:p>
        </w:tc>
      </w:tr>
      <w:tr>
        <w:tc>
          <w:tcPr>
            <w:tcW w:type="dxa" w:w="23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Production Engineering</w:t>
            </w:r>
          </w:p>
        </w:tc>
        <w:tc>
          <w:tcPr>
            <w:tcW w:type="dxa" w:w="70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The interface, the database, background processing, deployment, testing, documentation and handover materials</w:t>
            </w:r>
          </w:p>
        </w:tc>
      </w:tr>
    </w:tbl>
    <w:p>
      <w:pPr>
        <w:pStyle w:val="Heading2"/>
        <w:spacing w:after="110" w:before="240"/>
      </w:pPr>
      <w:r>
        <w:rPr>
          <w:rFonts w:ascii="Calibri" w:cs="Calibri" w:eastAsia="Calibri" w:hAnsi="Calibri"/>
          <w:b/>
          <w:bCs/>
          <w:color w:val="8A5A20"/>
          <w:sz w:val="22"/>
          <w:szCs w:val="22"/>
        </w:rPr>
        <w:t xml:space="preserve">Evidence</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3000"/>
        <w:gridCol w:w="6360"/>
      </w:tblGrid>
      <w:tr>
        <w:trPr>
          <w:tblHeader/>
        </w:trPr>
        <w:tc>
          <w:tcPr>
            <w:tcW w:type="dxa" w:w="3000"/>
            <w:shd w:fill="F3EFE8" w:color="auto" w:val="clear"/>
            <w:tcMar>
              <w:top w:type="dxa" w:w="85"/>
              <w:left w:type="dxa" w:w="115"/>
              <w:bottom w:type="dxa" w:w="85"/>
              <w:right w:type="dxa" w:w="115"/>
            </w:tcMar>
          </w:tcPr>
          <w:p>
            <w:pPr>
              <w:spacing w:after="0" w:line="264"/>
            </w:pPr>
            <w:r>
              <w:rPr>
                <w:rFonts w:ascii="Calibri" w:cs="Calibri" w:eastAsia="Calibri" w:hAnsi="Calibri"/>
                <w:b/>
                <w:bCs/>
                <w:color w:val="1A1714"/>
                <w:sz w:val="19"/>
                <w:szCs w:val="19"/>
              </w:rPr>
              <w:t xml:space="preserve">Check</w:t>
            </w:r>
          </w:p>
        </w:tc>
        <w:tc>
          <w:tcPr>
            <w:tcW w:type="dxa" w:w="6360"/>
            <w:shd w:fill="F3EFE8" w:color="auto" w:val="clear"/>
            <w:tcMar>
              <w:top w:type="dxa" w:w="85"/>
              <w:left w:type="dxa" w:w="115"/>
              <w:bottom w:type="dxa" w:w="85"/>
              <w:right w:type="dxa" w:w="115"/>
            </w:tcMar>
          </w:tcPr>
          <w:p>
            <w:pPr>
              <w:spacing w:after="0" w:line="264"/>
            </w:pPr>
            <w:r>
              <w:rPr>
                <w:rFonts w:ascii="Calibri" w:cs="Calibri" w:eastAsia="Calibri" w:hAnsi="Calibri"/>
                <w:b/>
                <w:bCs/>
                <w:color w:val="1A1714"/>
                <w:sz w:val="19"/>
                <w:szCs w:val="19"/>
              </w:rPr>
              <w:t xml:space="preserve">Result</w:t>
            </w:r>
          </w:p>
        </w:tc>
      </w:tr>
      <w:tr>
        <w:tc>
          <w:tcPr>
            <w:tcW w:type="dxa" w:w="30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Backend automated tests</w:t>
            </w:r>
          </w:p>
        </w:tc>
        <w:tc>
          <w:tcPr>
            <w:tcW w:type="dxa" w:w="63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779 passed, including tests against a real database</w:t>
            </w:r>
          </w:p>
        </w:tc>
      </w:tr>
      <w:tr>
        <w:tc>
          <w:tcPr>
            <w:tcW w:type="dxa" w:w="30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Frontend automated tests</w:t>
            </w:r>
          </w:p>
        </w:tc>
        <w:tc>
          <w:tcPr>
            <w:tcW w:type="dxa" w:w="63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40 passed</w:t>
            </w:r>
          </w:p>
        </w:tc>
      </w:tr>
      <w:tr>
        <w:tc>
          <w:tcPr>
            <w:tcW w:type="dxa" w:w="30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Code quality and type checking</w:t>
            </w:r>
          </w:p>
        </w:tc>
        <w:tc>
          <w:tcPr>
            <w:tcW w:type="dxa" w:w="63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Clean on both halves of the system</w:t>
            </w:r>
          </w:p>
        </w:tc>
      </w:tr>
      <w:tr>
        <w:tc>
          <w:tcPr>
            <w:tcW w:type="dxa" w:w="30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Production build</w:t>
            </w:r>
          </w:p>
        </w:tc>
        <w:tc>
          <w:tcPr>
            <w:tcW w:type="dxa" w:w="63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Compiles, all 19 screens generate</w:t>
            </w:r>
          </w:p>
        </w:tc>
      </w:tr>
      <w:tr>
        <w:tc>
          <w:tcPr>
            <w:tcW w:type="dxa" w:w="30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Database migration</w:t>
            </w:r>
          </w:p>
        </w:tc>
        <w:tc>
          <w:tcPr>
            <w:tcW w:type="dxa" w:w="63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Applied, reversed completely, and re-applied</w:t>
            </w:r>
          </w:p>
        </w:tc>
      </w:tr>
      <w:tr>
        <w:tc>
          <w:tcPr>
            <w:tcW w:type="dxa" w:w="30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The product running end to end</w:t>
            </w:r>
          </w:p>
        </w:tc>
        <w:tc>
          <w:tcPr>
            <w:tcW w:type="dxa" w:w="63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Every screen opened in a browser with no errors; sign-up, onboarding, conversation, Recognition, correction, export and deletion all exercised</w:t>
            </w:r>
          </w:p>
        </w:tc>
      </w:tr>
    </w:tbl>
    <w:p>
      <w:pPr>
        <w:spacing w:after="0"/>
      </w:pPr>
      <w:r>
        <w:t xml:space="preserve"/>
      </w:r>
    </w:p>
    <w:p>
      <w:pPr>
        <w:spacing w:after="120" w:line="288"/>
      </w:pPr>
      <w:r>
        <w:rPr>
          <w:rFonts w:ascii="Calibri" w:cs="Calibri" w:eastAsia="Calibri" w:hAnsi="Calibri"/>
          <w:color w:val="1A1714"/>
          <w:sz w:val="21"/>
          <w:szCs w:val="21"/>
        </w:rPr>
        <w:t xml:space="preserve">You can reproduce every line of that table yourself with ./run test, ./run web-test and ./run lint.</w:t>
      </w:r>
    </w:p>
    <w:p>
      <w:pPr>
        <w:pStyle w:val="Heading2"/>
        <w:spacing w:after="110" w:before="240"/>
      </w:pPr>
      <w:r>
        <w:rPr>
          <w:rFonts w:ascii="Calibri" w:cs="Calibri" w:eastAsia="Calibri" w:hAnsi="Calibri"/>
          <w:b/>
          <w:bCs/>
          <w:color w:val="8A5A20"/>
          <w:sz w:val="22"/>
          <w:szCs w:val="22"/>
        </w:rPr>
        <w:t xml:space="preserve">What is not finished</w:t>
      </w:r>
    </w:p>
    <w:p>
      <w:pPr>
        <w:spacing w:after="120" w:line="288"/>
      </w:pPr>
      <w:r>
        <w:rPr>
          <w:rFonts w:ascii="Calibri" w:cs="Calibri" w:eastAsia="Calibri" w:hAnsi="Calibri"/>
          <w:color w:val="1A1714"/>
          <w:sz w:val="21"/>
          <w:szCs w:val="21"/>
        </w:rPr>
        <w:t xml:space="preserve">Stated plainly, because you asked and because you will find it anyway.</w:t>
      </w:r>
    </w:p>
    <w:p>
      <w:pPr>
        <w:pStyle w:val="ListParagraph"/>
        <w:numPr>
          <w:ilvl w:val="0"/>
          <w:numId w:val="2"/>
        </w:numPr>
        <w:spacing w:after="70" w:line="276"/>
      </w:pPr>
      <w:r>
        <w:rPr>
          <w:rFonts w:ascii="Calibri" w:cs="Calibri" w:eastAsia="Calibri" w:hAnsi="Calibri"/>
          <w:b/>
          <w:bCs/>
          <w:color w:val="1A1714"/>
          <w:sz w:val="21"/>
          <w:szCs w:val="21"/>
        </w:rPr>
        <w:t xml:space="preserve">No live model run.</w:t>
      </w:r>
      <w:r>
        <w:rPr>
          <w:rFonts w:ascii="Calibri" w:cs="Calibri" w:eastAsia="Calibri" w:hAnsi="Calibri"/>
          <w:color w:val="1A1714"/>
          <w:sz w:val="21"/>
          <w:szCs w:val="21"/>
        </w:rPr>
        <w:t xml:space="preserve"> Everything so far has used the substitute provider. We need an API key to run on Claude, and the first days on a real model will need tuning we have not done.</w:t>
      </w:r>
    </w:p>
    <w:p>
      <w:pPr>
        <w:pStyle w:val="ListParagraph"/>
        <w:numPr>
          <w:ilvl w:val="0"/>
          <w:numId w:val="2"/>
        </w:numPr>
        <w:spacing w:after="70" w:line="276"/>
      </w:pPr>
      <w:r>
        <w:rPr>
          <w:rFonts w:ascii="Calibri" w:cs="Calibri" w:eastAsia="Calibri" w:hAnsi="Calibri"/>
          <w:b/>
          <w:bCs/>
          <w:color w:val="1A1714"/>
          <w:sz w:val="21"/>
          <w:szCs w:val="21"/>
        </w:rPr>
        <w:t xml:space="preserve">The quality evaluation has not been run on real models.</w:t>
      </w:r>
      <w:r>
        <w:rPr>
          <w:rFonts w:ascii="Calibri" w:cs="Calibri" w:eastAsia="Calibri" w:hAnsi="Calibri"/>
          <w:color w:val="1A1714"/>
          <w:sz w:val="21"/>
          <w:szCs w:val="21"/>
        </w:rPr>
        <w:t xml:space="preserve"> The harness and six test personas exist; running them costs money, so it waits for your decision on the budget.</w:t>
      </w:r>
    </w:p>
    <w:p>
      <w:pPr>
        <w:pStyle w:val="ListParagraph"/>
        <w:numPr>
          <w:ilvl w:val="0"/>
          <w:numId w:val="2"/>
        </w:numPr>
        <w:spacing w:after="70" w:line="276"/>
      </w:pPr>
      <w:r>
        <w:rPr>
          <w:rFonts w:ascii="Calibri" w:cs="Calibri" w:eastAsia="Calibri" w:hAnsi="Calibri"/>
          <w:b/>
          <w:bCs/>
          <w:color w:val="1A1714"/>
          <w:sz w:val="21"/>
          <w:szCs w:val="21"/>
        </w:rPr>
        <w:t xml:space="preserve">This instance is a demonstration, not production.</w:t>
      </w:r>
      <w:r>
        <w:rPr>
          <w:rFonts w:ascii="Calibri" w:cs="Calibri" w:eastAsia="Calibri" w:hAnsi="Calibri"/>
          <w:color w:val="1A1714"/>
          <w:sz w:val="21"/>
          <w:szCs w:val="21"/>
        </w:rPr>
        <w:t xml:space="preserve"> It builds on the server, serves over plain HTTP unless a domain is configured, catches its own email, and takes no backups. The production path is written and scripted but has not been exercised on your infrastructure.</w:t>
      </w:r>
    </w:p>
    <w:p>
      <w:pPr>
        <w:pStyle w:val="ListParagraph"/>
        <w:numPr>
          <w:ilvl w:val="0"/>
          <w:numId w:val="2"/>
        </w:numPr>
        <w:spacing w:after="70" w:line="276"/>
      </w:pPr>
      <w:r>
        <w:rPr>
          <w:rFonts w:ascii="Calibri" w:cs="Calibri" w:eastAsia="Calibri" w:hAnsi="Calibri"/>
          <w:b/>
          <w:bCs/>
          <w:color w:val="1A1714"/>
          <w:sz w:val="21"/>
          <w:szCs w:val="21"/>
        </w:rPr>
        <w:t xml:space="preserve">The browser test suite is run by hand</w:t>
      </w:r>
      <w:r>
        <w:rPr>
          <w:rFonts w:ascii="Calibri" w:cs="Calibri" w:eastAsia="Calibri" w:hAnsi="Calibri"/>
          <w:color w:val="1A1714"/>
          <w:sz w:val="21"/>
          <w:szCs w:val="21"/>
        </w:rPr>
        <w:t xml:space="preserve">, not in continuous integration. It exists and passes; wiring it in is open work.</w:t>
      </w:r>
    </w:p>
    <w:p>
      <w:pPr>
        <w:pStyle w:val="ListParagraph"/>
        <w:numPr>
          <w:ilvl w:val="0"/>
          <w:numId w:val="2"/>
        </w:numPr>
        <w:spacing w:after="70" w:line="276"/>
      </w:pPr>
      <w:r>
        <w:rPr>
          <w:rFonts w:ascii="Calibri" w:cs="Calibri" w:eastAsia="Calibri" w:hAnsi="Calibri"/>
          <w:b/>
          <w:bCs/>
          <w:color w:val="1A1714"/>
          <w:sz w:val="21"/>
          <w:szCs w:val="21"/>
        </w:rPr>
        <w:t xml:space="preserve">Deliberately outside Phase 1:</w:t>
      </w:r>
      <w:r>
        <w:rPr>
          <w:rFonts w:ascii="Calibri" w:cs="Calibri" w:eastAsia="Calibri" w:hAnsi="Calibri"/>
          <w:color w:val="1A1714"/>
          <w:sz w:val="21"/>
          <w:szCs w:val="21"/>
        </w:rPr>
        <w:t xml:space="preserve"> a native mobile application (this is one responsive web application), payment collection inside the product, and the deeper Recognition intelligence that Phases 2 to 5 describe.</w:t>
      </w:r>
    </w:p>
    <w:p>
      <w:pPr>
        <w:pStyle w:val="Heading2"/>
        <w:spacing w:after="110" w:before="240"/>
      </w:pPr>
      <w:r>
        <w:rPr>
          <w:rFonts w:ascii="Calibri" w:cs="Calibri" w:eastAsia="Calibri" w:hAnsi="Calibri"/>
          <w:b/>
          <w:bCs/>
          <w:color w:val="8A5A20"/>
          <w:sz w:val="22"/>
          <w:szCs w:val="22"/>
        </w:rPr>
        <w:t xml:space="preserve">Two gaps this review process found, and we fixed</w:t>
      </w:r>
    </w:p>
    <w:p>
      <w:pPr>
        <w:spacing w:after="120" w:line="288"/>
      </w:pPr>
      <w:r>
        <w:rPr>
          <w:rFonts w:ascii="Calibri" w:cs="Calibri" w:eastAsia="Calibri" w:hAnsi="Calibri"/>
          <w:color w:val="1A1714"/>
          <w:sz w:val="21"/>
          <w:szCs w:val="21"/>
        </w:rPr>
        <w:t xml:space="preserve">We mention these because they are the kind of thing a review is for, and because you should know the review already produced results.</w:t>
      </w:r>
    </w:p>
    <w:p>
      <w:pPr>
        <w:pStyle w:val="ListParagraph"/>
        <w:numPr>
          <w:ilvl w:val="0"/>
          <w:numId w:val="2"/>
        </w:numPr>
        <w:spacing w:after="70" w:line="276"/>
      </w:pPr>
      <w:r>
        <w:rPr>
          <w:rFonts w:ascii="Calibri" w:cs="Calibri" w:eastAsia="Calibri" w:hAnsi="Calibri"/>
          <w:b/>
          <w:bCs/>
          <w:color w:val="1A1714"/>
          <w:sz w:val="21"/>
          <w:szCs w:val="21"/>
        </w:rPr>
        <w:t xml:space="preserve">The administrative screens were unreachable.</w:t>
      </w:r>
      <w:r>
        <w:rPr>
          <w:rFonts w:ascii="Calibri" w:cs="Calibri" w:eastAsia="Calibri" w:hAnsi="Calibri"/>
          <w:color w:val="1A1714"/>
          <w:sz w:val="21"/>
          <w:szCs w:val="21"/>
        </w:rPr>
        <w:t xml:space="preserve"> Nothing in the product ever granted the administrator role, so the ledger showing every decision not to recognise something — the most interesting thing for a reviewer — refused access on any fresh installation. There is now a command that grants it, and we verified the screens afterwards.</w:t>
      </w:r>
    </w:p>
    <w:p>
      <w:pPr>
        <w:pStyle w:val="ListParagraph"/>
        <w:numPr>
          <w:ilvl w:val="0"/>
          <w:numId w:val="2"/>
        </w:numPr>
        <w:spacing w:after="70" w:line="276"/>
      </w:pPr>
      <w:r>
        <w:rPr>
          <w:rFonts w:ascii="Calibri" w:cs="Calibri" w:eastAsia="Calibri" w:hAnsi="Calibri"/>
          <w:b/>
          <w:bCs/>
          <w:color w:val="1A1714"/>
          <w:sz w:val="21"/>
          <w:szCs w:val="21"/>
        </w:rPr>
        <w:t xml:space="preserve">The demonstration server's mail viewer was unprotected.</w:t>
      </w:r>
      <w:r>
        <w:rPr>
          <w:rFonts w:ascii="Calibri" w:cs="Calibri" w:eastAsia="Calibri" w:hAnsi="Calibri"/>
          <w:color w:val="1A1714"/>
          <w:sz w:val="21"/>
          <w:szCs w:val="21"/>
        </w:rPr>
        <w:t xml:space="preserve"> Anyone who learned the address could have requested a password reset for a published demonstration login and taken the account over. It now requires its own password, which is why we hand that credential over separately.</w:t>
      </w:r>
    </w:p>
    <w:p>
      <w:r>
        <w:br w:type="page"/>
      </w:r>
    </w:p>
    <w:p>
      <w:pPr>
        <w:pStyle w:val="Heading1"/>
        <w:spacing w:after="150" w:before="360"/>
      </w:pPr>
      <w:r>
        <w:rPr>
          <w:rFonts w:ascii="Georgia" w:cs="Georgia" w:eastAsia="Georgia" w:hAnsi="Georgia"/>
          <w:b/>
          <w:bCs/>
          <w:color w:val="1A1714"/>
          <w:sz w:val="28"/>
          <w:szCs w:val="28"/>
        </w:rPr>
        <w:t xml:space="preserve">5.  For Rasel</w:t>
      </w:r>
    </w:p>
    <w:p>
      <w:pPr>
        <w:spacing w:after="120" w:line="288"/>
      </w:pPr>
      <w:r>
        <w:rPr>
          <w:rFonts w:ascii="Calibri" w:cs="Calibri" w:eastAsia="Calibri" w:hAnsi="Calibri"/>
          <w:color w:val="1A1714"/>
          <w:sz w:val="21"/>
          <w:szCs w:val="21"/>
        </w:rPr>
        <w:t xml:space="preserve">Two documents in the repository are written for him directly, and he does not need anything from us to start.</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3700"/>
        <w:gridCol w:w="5660"/>
      </w:tblGrid>
      <w:tr>
        <w:trPr>
          <w:tblHeader/>
        </w:trPr>
        <w:tc>
          <w:tcPr>
            <w:tcW w:type="dxa" w:w="3700"/>
            <w:shd w:fill="F3EFE8" w:color="auto" w:val="clear"/>
            <w:tcMar>
              <w:top w:type="dxa" w:w="85"/>
              <w:left w:type="dxa" w:w="115"/>
              <w:bottom w:type="dxa" w:w="85"/>
              <w:right w:type="dxa" w:w="115"/>
            </w:tcMar>
          </w:tcPr>
          <w:p>
            <w:pPr>
              <w:spacing w:after="0" w:line="264"/>
            </w:pPr>
            <w:r>
              <w:rPr>
                <w:rFonts w:ascii="Calibri" w:cs="Calibri" w:eastAsia="Calibri" w:hAnsi="Calibri"/>
                <w:b/>
                <w:bCs/>
                <w:color w:val="1A1714"/>
                <w:sz w:val="19"/>
                <w:szCs w:val="19"/>
              </w:rPr>
              <w:t xml:space="preserve">Document</w:t>
            </w:r>
          </w:p>
        </w:tc>
        <w:tc>
          <w:tcPr>
            <w:tcW w:type="dxa" w:w="5660"/>
            <w:shd w:fill="F3EFE8" w:color="auto" w:val="clear"/>
            <w:tcMar>
              <w:top w:type="dxa" w:w="85"/>
              <w:left w:type="dxa" w:w="115"/>
              <w:bottom w:type="dxa" w:w="85"/>
              <w:right w:type="dxa" w:w="115"/>
            </w:tcMar>
          </w:tcPr>
          <w:p>
            <w:pPr>
              <w:spacing w:after="0" w:line="264"/>
            </w:pPr>
            <w:r>
              <w:rPr>
                <w:rFonts w:ascii="Calibri" w:cs="Calibri" w:eastAsia="Calibri" w:hAnsi="Calibri"/>
                <w:b/>
                <w:bCs/>
                <w:color w:val="1A1714"/>
                <w:sz w:val="19"/>
                <w:szCs w:val="19"/>
              </w:rPr>
              <w:t xml:space="preserve">Contents</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docs/client-review/05-INTEGRATION-GUIDE.md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How to run the interface on its own against either a local backend or this demonstration server; where every route, screen, component and style token lives; the complete interface contract — session handling, the header every request must send, the error format, and the two live data streams with their event names; how to propose a change and how to run the checks before doing so</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docs/client-review/06-DESIGN-SYSTEM-REFERENCE.md</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Every colour token and its purpose, the type scale, the reason for the two typefaces, spacing, light and dark treatment, focus and motion rules, and all twenty interface components with their properties and states, including the accessibility behaviour already built in</w:t>
            </w:r>
          </w:p>
        </w:tc>
      </w:tr>
      <w:tr>
        <w:tc>
          <w:tcPr>
            <w:tcW w:type="dxa" w:w="3700"/>
            <w:tcMar>
              <w:top w:type="dxa" w:w="85"/>
              <w:left w:type="dxa" w:w="115"/>
              <w:bottom w:type="dxa" w:w="85"/>
              <w:right w:type="dxa" w:w="115"/>
            </w:tcMar>
          </w:tcPr>
          <w:p>
            <w:pPr>
              <w:spacing w:after="0" w:line="264"/>
            </w:pPr>
            <w:r>
              <w:rPr>
                <w:rFonts w:ascii="Consolas" w:cs="Consolas" w:eastAsia="Consolas" w:hAnsi="Consolas"/>
                <w:b w:val="false"/>
                <w:bCs w:val="false"/>
                <w:color w:val="5A544C"/>
                <w:sz w:val="18"/>
                <w:szCs w:val="18"/>
              </w:rPr>
              <w:t xml:space="preserve">docs/api/openapi.json</w:t>
            </w:r>
          </w:p>
        </w:tc>
        <w:tc>
          <w:tcPr>
            <w:tcW w:type="dxa" w:w="56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The machine-readable interface description, exported from the running application — 47 paths and 57 operations. It loads directly into Postman, Insomnia or Swagger</w:t>
            </w:r>
          </w:p>
        </w:tc>
      </w:tr>
    </w:tbl>
    <w:p>
      <w:pPr>
        <w:spacing w:after="0"/>
      </w:pPr>
      <w:r>
        <w:t xml:space="preserve"/>
      </w:r>
    </w:p>
    <w:p>
      <w:pPr>
        <w:spacing w:after="120" w:line="288"/>
      </w:pPr>
      <w:r>
        <w:rPr>
          <w:rFonts w:ascii="Calibri" w:cs="Calibri" w:eastAsia="Calibri" w:hAnsi="Calibri"/>
          <w:color w:val="1A1714"/>
          <w:sz w:val="21"/>
          <w:szCs w:val="21"/>
        </w:rPr>
        <w:t xml:space="preserve">One request, made in good faith: a small number of things in the interface are driven by product rules rather than taste — the wording of confidence, the evidence list, and the panel that shows what a correction changed. They are the product's promise that it can be inspected and corrected. Everything else is open to his judgement, and we would welcome it. The guide marks which is which.</w:t>
      </w:r>
    </w:p>
    <w:p>
      <w:pPr>
        <w:spacing w:after="120" w:line="288"/>
      </w:pPr>
      <w:r>
        <w:rPr>
          <w:rFonts w:ascii="Calibri" w:cs="Calibri" w:eastAsia="Calibri" w:hAnsi="Calibri"/>
          <w:color w:val="5A544C"/>
          <w:sz w:val="21"/>
          <w:szCs w:val="21"/>
        </w:rPr>
        <w:t xml:space="preserve">We apologise for the delay in responding to his earlier contact. Whoever he should speak to is named in the access table at the front of this document, and he should feel free to raise anything directly.</w:t>
      </w:r>
    </w:p>
    <w:p>
      <w:pPr>
        <w:pStyle w:val="Heading1"/>
        <w:spacing w:after="150" w:before="360"/>
      </w:pPr>
      <w:r>
        <w:rPr>
          <w:rFonts w:ascii="Georgia" w:cs="Georgia" w:eastAsia="Georgia" w:hAnsi="Georgia"/>
          <w:b/>
          <w:bCs/>
          <w:color w:val="1A1714"/>
          <w:sz w:val="28"/>
          <w:szCs w:val="28"/>
        </w:rPr>
        <w:t xml:space="preserve">6.  What we need from you</w:t>
      </w:r>
    </w:p>
    <w:tbl>
      <w:tblPr>
        <w:tblW w:type="dxa" w:w="9360"/>
        <w:tblBorders>
          <w:top w:val="single" w:color="D8D2C8" w:sz="4"/>
          <w:left w:val="none" w:color="FFFFFF" w:sz="0"/>
          <w:bottom w:val="single" w:color="D8D2C8" w:sz="4"/>
          <w:right w:val="none" w:color="FFFFFF" w:sz="0"/>
          <w:insideH w:val="single" w:color="D8D2C8" w:sz="2"/>
          <w:insideV w:val="none" w:color="FFFFFF" w:sz="0"/>
        </w:tblBorders>
      </w:tblPr>
      <w:tblGrid>
        <w:gridCol w:w="2600"/>
        <w:gridCol w:w="4760"/>
        <w:gridCol w:w="2000"/>
      </w:tblGrid>
      <w:tr>
        <w:trPr>
          <w:tblHeader/>
        </w:trPr>
        <w:tc>
          <w:tcPr>
            <w:tcW w:type="dxa" w:w="2600"/>
            <w:shd w:fill="F3EFE8" w:color="auto" w:val="clear"/>
            <w:tcMar>
              <w:top w:type="dxa" w:w="85"/>
              <w:left w:type="dxa" w:w="115"/>
              <w:bottom w:type="dxa" w:w="85"/>
              <w:right w:type="dxa" w:w="115"/>
            </w:tcMar>
          </w:tcPr>
          <w:p>
            <w:pPr>
              <w:spacing w:after="0" w:line="264"/>
            </w:pPr>
            <w:r>
              <w:rPr>
                <w:rFonts w:ascii="Calibri" w:cs="Calibri" w:eastAsia="Calibri" w:hAnsi="Calibri"/>
                <w:b/>
                <w:bCs/>
                <w:color w:val="1A1714"/>
                <w:sz w:val="19"/>
                <w:szCs w:val="19"/>
              </w:rPr>
              <w:t xml:space="preserve">Decision</w:t>
            </w:r>
          </w:p>
        </w:tc>
        <w:tc>
          <w:tcPr>
            <w:tcW w:type="dxa" w:w="4760"/>
            <w:shd w:fill="F3EFE8" w:color="auto" w:val="clear"/>
            <w:tcMar>
              <w:top w:type="dxa" w:w="85"/>
              <w:left w:type="dxa" w:w="115"/>
              <w:bottom w:type="dxa" w:w="85"/>
              <w:right w:type="dxa" w:w="115"/>
            </w:tcMar>
          </w:tcPr>
          <w:p>
            <w:pPr>
              <w:spacing w:after="0" w:line="264"/>
            </w:pPr>
            <w:r>
              <w:rPr>
                <w:rFonts w:ascii="Calibri" w:cs="Calibri" w:eastAsia="Calibri" w:hAnsi="Calibri"/>
                <w:b/>
                <w:bCs/>
                <w:color w:val="1A1714"/>
                <w:sz w:val="19"/>
                <w:szCs w:val="19"/>
              </w:rPr>
              <w:t xml:space="preserve">Why it matters</w:t>
            </w:r>
          </w:p>
        </w:tc>
        <w:tc>
          <w:tcPr>
            <w:tcW w:type="dxa" w:w="2000"/>
            <w:shd w:fill="F3EFE8" w:color="auto" w:val="clear"/>
            <w:tcMar>
              <w:top w:type="dxa" w:w="85"/>
              <w:left w:type="dxa" w:w="115"/>
              <w:bottom w:type="dxa" w:w="85"/>
              <w:right w:type="dxa" w:w="115"/>
            </w:tcMar>
          </w:tcPr>
          <w:p>
            <w:pPr>
              <w:spacing w:after="0" w:line="264"/>
            </w:pPr>
            <w:r>
              <w:rPr>
                <w:rFonts w:ascii="Calibri" w:cs="Calibri" w:eastAsia="Calibri" w:hAnsi="Calibri"/>
                <w:b/>
                <w:bCs/>
                <w:color w:val="1A1714"/>
                <w:sz w:val="19"/>
                <w:szCs w:val="19"/>
              </w:rPr>
              <w:t xml:space="preserve">Needed by</w:t>
            </w:r>
          </w:p>
        </w:tc>
      </w:tr>
      <w:tr>
        <w:tc>
          <w:tcPr>
            <w:tcW w:type="dxa" w:w="26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An Anthropic API key, and a monthly budget</w:t>
            </w:r>
          </w:p>
        </w:tc>
        <w:tc>
          <w:tcPr>
            <w:tcW w:type="dxa" w:w="47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To run on Claude instead of the substitute provider, and to run the quality evaluation</w:t>
            </w:r>
          </w:p>
        </w:tc>
        <w:tc>
          <w:tcPr>
            <w:tcW w:type="dxa" w:w="20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Before the next milestone starts</w:t>
            </w:r>
          </w:p>
        </w:tc>
      </w:tr>
      <w:tr>
        <w:tc>
          <w:tcPr>
            <w:tcW w:type="dxa" w:w="26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A domain name, if you want one</w:t>
            </w:r>
          </w:p>
        </w:tc>
        <w:tc>
          <w:tcPr>
            <w:tcW w:type="dxa" w:w="47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The demonstration currently serves over plain HTTP on an IP address. A domain gives it a certificate automatically</w:t>
            </w:r>
          </w:p>
        </w:tc>
        <w:tc>
          <w:tcPr>
            <w:tcW w:type="dxa" w:w="20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When you are ready to show it more widely</w:t>
            </w:r>
          </w:p>
        </w:tc>
      </w:tr>
      <w:tr>
        <w:tc>
          <w:tcPr>
            <w:tcW w:type="dxa" w:w="26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The terms of service and privacy policy</w:t>
            </w:r>
          </w:p>
        </w:tc>
        <w:tc>
          <w:tcPr>
            <w:tcW w:type="dxa" w:w="47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The consent mechanism is complete and records which version was accepted; the wording is yours</w:t>
            </w:r>
          </w:p>
        </w:tc>
        <w:tc>
          <w:tcPr>
            <w:tcW w:type="dxa" w:w="20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Before anyone outside our two teams uses it</w:t>
            </w:r>
          </w:p>
        </w:tc>
      </w:tr>
      <w:tr>
        <w:tc>
          <w:tcPr>
            <w:tcW w:type="dxa" w:w="26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Confirmation of the sensitive-category list</w:t>
            </w:r>
          </w:p>
        </w:tc>
        <w:tc>
          <w:tcPr>
            <w:tcW w:type="dxa" w:w="47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The categories KnoRI will never draw a conclusion from. Our proposed list is in the engine documentation</w:t>
            </w:r>
          </w:p>
        </w:tc>
        <w:tc>
          <w:tcPr>
            <w:tcW w:type="dxa" w:w="20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Before a live model run</w:t>
            </w:r>
          </w:p>
        </w:tc>
      </w:tr>
      <w:tr>
        <w:tc>
          <w:tcPr>
            <w:tcW w:type="dxa" w:w="26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Who receives administrative access</w:t>
            </w:r>
          </w:p>
        </w:tc>
        <w:tc>
          <w:tcPr>
            <w:tcW w:type="dxa" w:w="476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So we can grant the role to the right people on your side</w:t>
            </w:r>
          </w:p>
        </w:tc>
        <w:tc>
          <w:tcPr>
            <w:tcW w:type="dxa" w:w="2000"/>
            <w:tcMar>
              <w:top w:type="dxa" w:w="85"/>
              <w:left w:type="dxa" w:w="115"/>
              <w:bottom w:type="dxa" w:w="85"/>
              <w:right w:type="dxa" w:w="115"/>
            </w:tcMar>
          </w:tcPr>
          <w:p>
            <w:pPr>
              <w:spacing w:after="0" w:line="264"/>
            </w:pPr>
            <w:r>
              <w:rPr>
                <w:rFonts w:ascii="Calibri" w:cs="Calibri" w:eastAsia="Calibri" w:hAnsi="Calibri"/>
                <w:b w:val="false"/>
                <w:bCs w:val="false"/>
                <w:color w:val="5A544C"/>
                <w:sz w:val="19"/>
                <w:szCs w:val="19"/>
              </w:rPr>
              <w:t xml:space="preserve">At your convenience</w:t>
            </w:r>
          </w:p>
        </w:tc>
      </w:tr>
    </w:tbl>
    <w:p>
      <w:pPr>
        <w:pStyle w:val="Heading1"/>
        <w:spacing w:after="150" w:before="360"/>
      </w:pPr>
      <w:r>
        <w:rPr>
          <w:rFonts w:ascii="Georgia" w:cs="Georgia" w:eastAsia="Georgia" w:hAnsi="Georgia"/>
          <w:b/>
          <w:bCs/>
          <w:color w:val="1A1714"/>
          <w:sz w:val="28"/>
          <w:szCs w:val="28"/>
        </w:rPr>
        <w:t xml:space="preserve">7.  In closing</w:t>
      </w:r>
    </w:p>
    <w:p>
      <w:pPr>
        <w:spacing w:after="120" w:line="288"/>
      </w:pPr>
      <w:r>
        <w:rPr>
          <w:rFonts w:ascii="Calibri" w:cs="Calibri" w:eastAsia="Calibri" w:hAnsi="Calibri"/>
          <w:color w:val="1A1714"/>
          <w:sz w:val="21"/>
          <w:szCs w:val="21"/>
        </w:rPr>
        <w:t xml:space="preserve">We would rather be checked than assumed correct, and we have tried to make checking as easy as we can. If anything in this pack turns out to be wrong, tell us and we will correct it and say so.</w:t>
      </w:r>
    </w:p>
    <w:p>
      <w:pPr>
        <w:spacing w:after="120" w:line="288"/>
      </w:pPr>
      <w:r>
        <w:rPr>
          <w:rFonts w:ascii="Calibri" w:cs="Calibri" w:eastAsia="Calibri" w:hAnsi="Calibri"/>
          <w:color w:val="1A1714"/>
          <w:sz w:val="21"/>
          <w:szCs w:val="21"/>
        </w:rPr>
        <w:t xml:space="preserve">If any part of the product does not do what this document says it does, that is a defect and we will treat it as one.</w:t>
      </w:r>
    </w:p>
    <w:p>
      <w:pPr>
        <w:spacing w:after="0"/>
      </w:pPr>
      <w:r>
        <w:t xml:space="preserve"/>
      </w:r>
    </w:p>
    <w:p>
      <w:pPr>
        <w:pBdr>
          <w:bottom w:val="single" w:color="D8D2C8" w:sz="6" w:space="1"/>
        </w:pBdr>
        <w:spacing w:after="150" w:before="60"/>
      </w:pPr>
      <w:r>
        <w:t xml:space="preserve"/>
      </w:r>
    </w:p>
    <w:p>
      <w:pPr>
        <w:spacing w:after="120" w:line="288"/>
      </w:pPr>
      <w:r>
        <w:rPr>
          <w:rFonts w:ascii="Calibri" w:cs="Calibri" w:eastAsia="Calibri" w:hAnsi="Calibri"/>
          <w:color w:val="5A544C"/>
          <w:sz w:val="18"/>
          <w:szCs w:val="18"/>
        </w:rPr>
        <w:t xml:space="preserve">Prepared by Noventrix Solutions for Sway / KnoRI.  Confidential.</w:t>
      </w:r>
    </w:p>
    <w:sectPr>
      <w:footerReference w:type="default" r:id="rId6"/>
      <w:pgSz w:w="11906" w:h="16838"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A544C"/>
        <w:sz w:val="16"/>
        <w:szCs w:val="16"/>
      </w:rPr>
      <w:t xml:space="preserve">KnoRI · Milestone 1 Verification Pack — page </w:t>
    </w:r>
    <w:r>
      <w:rPr>
        <w:rFonts w:ascii="Calibri" w:cs="Calibri" w:eastAsia="Calibri" w:hAnsi="Calibri"/>
        <w:color w:val="5A544C"/>
        <w:sz w:val="16"/>
        <w:szCs w:val="16"/>
      </w:rPr>
      <w:fldChar w:fldCharType="begin"/>
      <w:instrText xml:space="preserve">PAGE</w:instrText>
      <w:fldChar w:fldCharType="separate"/>
      <w:fldChar w:fldCharType="end"/>
    </w:r>
    <w:r>
      <w:rPr>
        <w:rFonts w:ascii="Calibri" w:cs="Calibri" w:eastAsia="Calibri" w:hAnsi="Calibri"/>
        <w:color w:val="5A544C"/>
        <w:sz w:val="16"/>
        <w:szCs w:val="16"/>
      </w:rPr>
      <w:t xml:space="preserve"> of </w:t>
    </w:r>
    <w:r>
      <w:rPr>
        <w:rFonts w:ascii="Calibri" w:cs="Calibri" w:eastAsia="Calibri" w:hAnsi="Calibri"/>
        <w:color w:val="5A544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KnoRI Milestone 1 — Verification Pack</dc:title>
  <dc:creator>Noventrix Solutions</dc:creator>
  <dc:description>Response to the client's request to inspect and verify Milestone 1</dc:description>
  <cp:lastModifiedBy>Un-named</cp:lastModifiedBy>
  <cp:revision>1</cp:revision>
  <dcterms:created xsi:type="dcterms:W3CDTF">2026-10-15T16:03:52.862Z</dcterms:created>
  <dcterms:modified xsi:type="dcterms:W3CDTF">2026-10-15T16:03:52.862Z</dcterms:modified>
</cp:coreProperties>
</file>

<file path=docProps/custom.xml><?xml version="1.0" encoding="utf-8"?>
<Properties xmlns="http://schemas.openxmlformats.org/officeDocument/2006/custom-properties" xmlns:vt="http://schemas.openxmlformats.org/officeDocument/2006/docPropsVTypes"/>
</file>