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pPr>
      <w:r>
        <w:rPr>
          <w:rFonts w:ascii="Calibri" w:cs="Calibri" w:eastAsia="Calibri" w:hAnsi="Calibri"/>
          <w:b/>
          <w:bCs/>
          <w:color w:val="8A5A20"/>
          <w:spacing w:val="30"/>
          <w:sz w:val="17"/>
          <w:szCs w:val="17"/>
        </w:rPr>
        <w:t xml:space="preserve">PHASE 1 DELIVERY  ·  WORKSTREAM 1 OF 7</w:t>
      </w:r>
    </w:p>
    <w:p>
      <w:pPr>
        <w:spacing w:after="80"/>
      </w:pPr>
      <w:r>
        <w:rPr>
          <w:rFonts w:ascii="Georgia" w:cs="Georgia" w:eastAsia="Georgia" w:hAnsi="Georgia"/>
          <w:b/>
          <w:bCs/>
          <w:color w:val="1A1714"/>
          <w:sz w:val="44"/>
          <w:szCs w:val="44"/>
        </w:rPr>
        <w:t xml:space="preserve">Product Foundation</w:t>
      </w:r>
    </w:p>
    <w:p>
      <w:pPr>
        <w:spacing w:after="240"/>
      </w:pPr>
      <w:r>
        <w:rPr>
          <w:rFonts w:ascii="Calibri" w:cs="Calibri" w:eastAsia="Calibri" w:hAnsi="Calibri"/>
          <w:color w:val="5A544C"/>
          <w:sz w:val="23"/>
          <w:szCs w:val="23"/>
        </w:rPr>
        <w:t xml:space="preserve">Implementation report for Project KnoRI — what was built, and how</w:t>
      </w:r>
    </w:p>
    <w:p>
      <w:pPr>
        <w:pBdr>
          <w:bottom w:val="single" w:color="D8D2C8" w:sz="6" w:space="1"/>
        </w:pBdr>
        <w:spacing w:after="160" w:before="60"/>
      </w:pPr>
      <w:r>
        <w:t xml:space="preserve"/>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200"/>
        <w:gridCol w:w="7160"/>
      </w:tblGrid>
      <w:tr>
        <w:trPr>
          <w:tblHeader/>
        </w:trPr>
        <w:tc>
          <w:tcPr>
            <w:tcW w:type="dxa" w:w="22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Field</w:t>
            </w:r>
          </w:p>
        </w:tc>
        <w:tc>
          <w:tcPr>
            <w:tcW w:type="dxa" w:w="71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Detail</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Project</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KnoRI — Identity Intelligence Platform (first commercial expression of ROS)</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Workstream</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Workstream 1 — Product Foundation (Phase 1, proposal page 3)</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Document</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Implementation report, submitted with the Phase 1 delivery</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Status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Built, tested and running; verified end to end on a development environment</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Date</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6 October 2026</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Version</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1.0</w:t>
            </w:r>
          </w:p>
        </w:tc>
      </w:tr>
    </w:tbl>
    <w:p>
      <w:pPr>
        <w:pStyle w:val="Heading1"/>
        <w:spacing w:after="160" w:before="360"/>
      </w:pPr>
      <w:r>
        <w:rPr>
          <w:rFonts w:ascii="Georgia" w:cs="Georgia" w:eastAsia="Georgia" w:hAnsi="Georgia"/>
          <w:b/>
          <w:bCs/>
          <w:color w:val="1A1714"/>
          <w:sz w:val="30"/>
          <w:szCs w:val="30"/>
        </w:rPr>
        <w:t xml:space="preserve">1.  Purpose of this document</w:t>
      </w:r>
    </w:p>
    <w:p>
      <w:pPr>
        <w:spacing w:after="120" w:line="288"/>
      </w:pPr>
      <w:r>
        <w:rPr>
          <w:rFonts w:ascii="Calibri" w:cs="Calibri" w:eastAsia="Calibri" w:hAnsi="Calibri"/>
          <w:color w:val="1A1714"/>
          <w:sz w:val="21"/>
          <w:szCs w:val="21"/>
        </w:rPr>
        <w:t xml:space="preserve">Phase 1 of Project KnoRI is organised into seven workstreams. This document covers Workstream 1, Product Foundation, and nothing else: it states what was delivered against each of the four agreed points, explains how each part was built, and shows how the client can verify the work independently.</w:t>
      </w:r>
    </w:p>
    <w:p>
      <w:pPr>
        <w:spacing w:after="120" w:line="288"/>
      </w:pPr>
      <w:r>
        <w:rPr>
          <w:rFonts w:ascii="Calibri" w:cs="Calibri" w:eastAsia="Calibri" w:hAnsi="Calibri"/>
          <w:color w:val="1A1714"/>
          <w:sz w:val="21"/>
          <w:szCs w:val="21"/>
        </w:rPr>
        <w:t xml:space="preserve">The four points below are reproduced exactly as they appear in the agreed scope. Each has its own section in this report.</w:t>
      </w:r>
    </w:p>
    <w:p>
      <w:pPr>
        <w:pStyle w:val="ListParagraph"/>
        <w:numPr>
          <w:ilvl w:val="0"/>
          <w:numId w:val="2"/>
        </w:numPr>
        <w:spacing w:after="70" w:line="276"/>
      </w:pPr>
      <w:r>
        <w:rPr>
          <w:rFonts w:ascii="Calibri" w:cs="Calibri" w:eastAsia="Calibri" w:hAnsi="Calibri"/>
          <w:color w:val="1A1714"/>
          <w:sz w:val="21"/>
          <w:szCs w:val="21"/>
        </w:rPr>
        <w:t xml:space="preserve">Authentication, account management, user profile, onboarding</w:t>
      </w:r>
    </w:p>
    <w:p>
      <w:pPr>
        <w:pStyle w:val="ListParagraph"/>
        <w:numPr>
          <w:ilvl w:val="0"/>
          <w:numId w:val="2"/>
        </w:numPr>
        <w:spacing w:after="70" w:line="276"/>
      </w:pPr>
      <w:r>
        <w:rPr>
          <w:rFonts w:ascii="Calibri" w:cs="Calibri" w:eastAsia="Calibri" w:hAnsi="Calibri"/>
          <w:color w:val="1A1714"/>
          <w:sz w:val="21"/>
          <w:szCs w:val="21"/>
        </w:rPr>
        <w:t xml:space="preserve">Initial context capture, core navigation, settings, privacy/security fundamentals</w:t>
      </w:r>
    </w:p>
    <w:p>
      <w:pPr>
        <w:pStyle w:val="ListParagraph"/>
        <w:numPr>
          <w:ilvl w:val="0"/>
          <w:numId w:val="2"/>
        </w:numPr>
        <w:spacing w:after="70" w:line="276"/>
      </w:pPr>
      <w:r>
        <w:rPr>
          <w:rFonts w:ascii="Calibri" w:cs="Calibri" w:eastAsia="Calibri" w:hAnsi="Calibri"/>
          <w:color w:val="1A1714"/>
          <w:sz w:val="21"/>
          <w:szCs w:val="21"/>
        </w:rPr>
        <w:t xml:space="preserve">Core application UX and production deployment foundation</w:t>
      </w:r>
    </w:p>
    <w:p>
      <w:pPr>
        <w:pStyle w:val="ListParagraph"/>
        <w:numPr>
          <w:ilvl w:val="0"/>
          <w:numId w:val="2"/>
        </w:numPr>
        <w:spacing w:after="70" w:line="276"/>
      </w:pPr>
      <w:r>
        <w:rPr>
          <w:rFonts w:ascii="Calibri" w:cs="Calibri" w:eastAsia="Calibri" w:hAnsi="Calibri"/>
          <w:color w:val="1A1714"/>
          <w:sz w:val="21"/>
          <w:szCs w:val="21"/>
        </w:rPr>
        <w:t xml:space="preserve">Approved web/mobile application foundation</w:t>
      </w:r>
    </w:p>
    <w:p>
      <w:pPr>
        <w:spacing w:after="120" w:line="288"/>
      </w:pPr>
      <w:r>
        <w:rPr>
          <w:rFonts w:ascii="Calibri" w:cs="Calibri" w:eastAsia="Calibri" w:hAnsi="Calibri"/>
          <w:i/>
          <w:iCs/>
          <w:color w:val="5A544C"/>
          <w:sz w:val="21"/>
          <w:szCs w:val="21"/>
        </w:rPr>
        <w:t xml:space="preserve">Where something was deliberately excluded from Phase 1, this document says so plainly rather than leaving it implied.</w:t>
      </w:r>
    </w:p>
    <w:p>
      <w:pPr>
        <w:pStyle w:val="Heading1"/>
        <w:spacing w:after="160" w:before="360"/>
      </w:pPr>
      <w:r>
        <w:rPr>
          <w:rFonts w:ascii="Georgia" w:cs="Georgia" w:eastAsia="Georgia" w:hAnsi="Georgia"/>
          <w:b/>
          <w:bCs/>
          <w:color w:val="1A1714"/>
          <w:sz w:val="30"/>
          <w:szCs w:val="30"/>
        </w:rPr>
        <w:t xml:space="preserve">2.  Summary of delivery</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200"/>
        <w:gridCol w:w="1400"/>
        <w:gridCol w:w="4760"/>
      </w:tblGrid>
      <w:tr>
        <w:trPr>
          <w:tblHeader/>
        </w:trPr>
        <w:tc>
          <w:tcPr>
            <w:tcW w:type="dxa" w:w="32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Scope point</w:t>
            </w:r>
          </w:p>
        </w:tc>
        <w:tc>
          <w:tcPr>
            <w:tcW w:type="dxa" w:w="14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Delivered</w:t>
            </w:r>
          </w:p>
        </w:tc>
        <w:tc>
          <w:tcPr>
            <w:tcW w:type="dxa" w:w="47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Where it lives</w:t>
            </w:r>
          </w:p>
        </w:tc>
      </w:tr>
      <w:tr>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Authentication, account management, user profile, onboarding</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Complete</w:t>
            </w:r>
          </w:p>
        </w:tc>
        <w:tc>
          <w:tcPr>
            <w:tcW w:type="dxa" w:w="47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18 API endpoints; 7 database tables; 5 web screens plus a 3-step onboarding flow</w:t>
            </w:r>
          </w:p>
        </w:tc>
      </w:tr>
      <w:tr>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Initial context capture, core navigation, settings, privacy/security fundamentals</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Complete</w:t>
            </w:r>
          </w:p>
        </w:tc>
        <w:tc>
          <w:tcPr>
            <w:tcW w:type="dxa" w:w="47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Onboarding capture pipeline; application shell and navigation; settings and privacy screens; security controls across the whole API</w:t>
            </w:r>
          </w:p>
        </w:tc>
      </w:tr>
      <w:tr>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Core application UX and production deployment foundation</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Complete</w:t>
            </w:r>
          </w:p>
        </w:tc>
        <w:tc>
          <w:tcPr>
            <w:tcW w:type="dxa" w:w="47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Design system with 21 interface components; production container stack, reverse proxy, backups, deployment and restore scripts, continuous integration</w:t>
            </w:r>
          </w:p>
        </w:tc>
      </w:tr>
      <w:tr>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Approved web/mobile application foundation</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Complete</w:t>
            </w:r>
          </w:p>
        </w:tc>
        <w:tc>
          <w:tcPr>
            <w:tcW w:type="dxa" w:w="47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One responsive web application serving desktop and mobile browsers, from 360 px upwards</w:t>
            </w:r>
          </w:p>
        </w:tc>
      </w:tr>
    </w:tbl>
    <w:p>
      <w:pPr>
        <w:spacing w:after="0"/>
      </w:pPr>
      <w:r>
        <w:t xml:space="preserve"/>
      </w:r>
    </w:p>
    <w:p>
      <w:pPr>
        <w:spacing w:after="120" w:line="288"/>
      </w:pPr>
      <w:r>
        <w:rPr>
          <w:rFonts w:ascii="Calibri" w:cs="Calibri" w:eastAsia="Calibri" w:hAnsi="Calibri"/>
          <w:color w:val="1A1714"/>
          <w:sz w:val="21"/>
          <w:szCs w:val="21"/>
        </w:rPr>
        <w:t xml:space="preserve">Quality position at the time of writing: 779 automated backend tests and 40 frontend tests pass; static analysis (ruff, mypy, ESLint, TypeScript) reports no issues; the production build compiles cleanly; and the database migration has been reversed and re-applied to prove it is reversible.</w:t>
      </w:r>
    </w:p>
    <w:p>
      <w:r>
        <w:br w:type="page"/>
      </w:r>
    </w:p>
    <w:p>
      <w:pPr>
        <w:pStyle w:val="Heading1"/>
        <w:spacing w:after="160" w:before="360"/>
      </w:pPr>
      <w:r>
        <w:rPr>
          <w:rFonts w:ascii="Georgia" w:cs="Georgia" w:eastAsia="Georgia" w:hAnsi="Georgia"/>
          <w:b/>
          <w:bCs/>
          <w:color w:val="1A1714"/>
          <w:sz w:val="30"/>
          <w:szCs w:val="30"/>
        </w:rPr>
        <w:t xml:space="preserve">3.  Authentication, account management, user profile, onboarding</w:t>
      </w:r>
    </w:p>
    <w:p>
      <w:pPr>
        <w:spacing w:after="120" w:line="288"/>
      </w:pPr>
      <w:r>
        <w:rPr>
          <w:rFonts w:ascii="Calibri" w:cs="Calibri" w:eastAsia="Calibri" w:hAnsi="Calibri"/>
          <w:color w:val="1A1714"/>
          <w:sz w:val="21"/>
          <w:szCs w:val="21"/>
        </w:rPr>
        <w:t xml:space="preserve">This section covers how a person gets into KnoRI, how their account is controlled, what KnoRI knows about them as an account holder, and the first few minutes of their experience.</w:t>
      </w:r>
    </w:p>
    <w:p>
      <w:pPr>
        <w:pStyle w:val="Heading2"/>
        <w:spacing w:after="120" w:before="260"/>
      </w:pPr>
      <w:r>
        <w:rPr>
          <w:rFonts w:ascii="Calibri" w:cs="Calibri" w:eastAsia="Calibri" w:hAnsi="Calibri"/>
          <w:b/>
          <w:bCs/>
          <w:color w:val="8A5A20"/>
          <w:sz w:val="23"/>
          <w:szCs w:val="23"/>
        </w:rPr>
        <w:t xml:space="preserve">3.1  Authentication</w:t>
      </w:r>
    </w:p>
    <w:p>
      <w:pPr>
        <w:spacing w:after="120" w:line="288"/>
      </w:pPr>
      <w:r>
        <w:rPr>
          <w:rFonts w:ascii="Calibri" w:cs="Calibri" w:eastAsia="Calibri" w:hAnsi="Calibri"/>
          <w:color w:val="1A1714"/>
          <w:sz w:val="21"/>
          <w:szCs w:val="21"/>
        </w:rPr>
        <w:t xml:space="preserve">Sign-up is invite-only while the product is in beta. A person registers with an invite code, receives a verification email, and cannot start a conversation until the address is confirmed. Everything that follows is built on an ordinary, well-understood session model rather than anything experimental.</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400"/>
        <w:gridCol w:w="6960"/>
      </w:tblGrid>
      <w:tr>
        <w:trPr>
          <w:tblHeader/>
        </w:trPr>
        <w:tc>
          <w:tcPr>
            <w:tcW w:type="dxa" w:w="24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Control</w:t>
            </w:r>
          </w:p>
        </w:tc>
        <w:tc>
          <w:tcPr>
            <w:tcW w:type="dxa" w:w="69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How it is implemented</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Password storage</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Argon2id (time cost 3, memory 64 MiB, parallelism 4). Minimum length 10 characters. Hashes are upgraded automatically when the parameters change.</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Sessions</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32-byte random token, stored only as a SHA-256 hash. Delivered in an httpOnly, Secure, SameSite=Lax cookie named knori_session, valid 30 days and extended on use.</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Email verification</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Single-use token, valid 3 days, stored hashed. Re-sending is rate limited.</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Password reset</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Single-use token, valid 1 hour, stored hashed. The response is identical whether or not the address exists, so the form cannot be used to discover accounts.</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Cross-site protection</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Every state-changing request that carries the session cookie must also present the application's own header and a matching Origin; a cross-site form cannot do either.</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Rate limiting</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Sign-in 10 per minute per address; registration, password reset and verification re-sends 5 per hour; data export 3 per hour.</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Sign out</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Single-session sign out, and a separate 'sign out everywhere' that revokes every session on the account.</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Audit</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Registration, sign-in, sign-out, password change, verification and account deletion are written to an audit log with the time and originating address.</w:t>
            </w:r>
          </w:p>
        </w:tc>
      </w:tr>
    </w:tbl>
    <w:p>
      <w:pPr>
        <w:spacing w:after="0"/>
      </w:pPr>
      <w:r>
        <w:t xml:space="preserve"/>
      </w:r>
    </w:p>
    <w:p>
      <w:pPr>
        <w:spacing w:after="120" w:line="288"/>
      </w:pPr>
      <w:r>
        <w:rPr>
          <w:rFonts w:ascii="Calibri" w:cs="Calibri" w:eastAsia="Calibri" w:hAnsi="Calibri"/>
          <w:color w:val="1A1714"/>
          <w:sz w:val="21"/>
          <w:szCs w:val="21"/>
        </w:rPr>
        <w:t xml:space="preserve">Failed sign-in attempts return the same message and status whether the address is unknown or the password is wrong, so the response reveals nothing about which accounts exist.</w:t>
      </w:r>
    </w:p>
    <w:p>
      <w:pPr>
        <w:pStyle w:val="Heading2"/>
        <w:spacing w:after="120" w:before="260"/>
      </w:pPr>
      <w:r>
        <w:rPr>
          <w:rFonts w:ascii="Calibri" w:cs="Calibri" w:eastAsia="Calibri" w:hAnsi="Calibri"/>
          <w:b/>
          <w:bCs/>
          <w:color w:val="8A5A20"/>
          <w:sz w:val="23"/>
          <w:szCs w:val="23"/>
        </w:rPr>
        <w:t xml:space="preserve">3.2  Account management</w:t>
      </w:r>
    </w:p>
    <w:p>
      <w:pPr>
        <w:spacing w:after="120" w:line="288"/>
      </w:pPr>
      <w:r>
        <w:rPr>
          <w:rFonts w:ascii="Calibri" w:cs="Calibri" w:eastAsia="Calibri" w:hAnsi="Calibri"/>
          <w:color w:val="1A1714"/>
          <w:sz w:val="21"/>
          <w:szCs w:val="21"/>
        </w:rPr>
        <w:t xml:space="preserve">An account holder can do all of the following without contacting support:</w:t>
      </w:r>
    </w:p>
    <w:p>
      <w:pPr>
        <w:pStyle w:val="ListParagraph"/>
        <w:numPr>
          <w:ilvl w:val="0"/>
          <w:numId w:val="2"/>
        </w:numPr>
        <w:spacing w:after="70" w:line="276"/>
      </w:pPr>
      <w:r>
        <w:rPr>
          <w:rFonts w:ascii="Calibri" w:cs="Calibri" w:eastAsia="Calibri" w:hAnsi="Calibri"/>
          <w:b/>
          <w:bCs/>
          <w:color w:val="1A1714"/>
          <w:sz w:val="21"/>
          <w:szCs w:val="21"/>
        </w:rPr>
        <w:t xml:space="preserve">Change their display name and timezone</w:t>
      </w:r>
      <w:r>
        <w:rPr>
          <w:rFonts w:ascii="Calibri" w:cs="Calibri" w:eastAsia="Calibri" w:hAnsi="Calibri"/>
          <w:color w:val="1A1714"/>
          <w:sz w:val="21"/>
          <w:szCs w:val="21"/>
        </w:rPr>
        <w:t xml:space="preserve">. Changing the timezone also re-examines anything KnoRI has concluded about them, because the engine counts evidence in calendar days in the person's own timezone.</w:t>
      </w:r>
    </w:p>
    <w:p>
      <w:pPr>
        <w:pStyle w:val="ListParagraph"/>
        <w:numPr>
          <w:ilvl w:val="0"/>
          <w:numId w:val="2"/>
        </w:numPr>
        <w:spacing w:after="70" w:line="276"/>
      </w:pPr>
      <w:r>
        <w:rPr>
          <w:rFonts w:ascii="Calibri" w:cs="Calibri" w:eastAsia="Calibri" w:hAnsi="Calibri"/>
          <w:b/>
          <w:bCs/>
          <w:color w:val="1A1714"/>
          <w:sz w:val="21"/>
          <w:szCs w:val="21"/>
        </w:rPr>
        <w:t xml:space="preserve">Change their password</w:t>
      </w:r>
      <w:r>
        <w:rPr>
          <w:rFonts w:ascii="Calibri" w:cs="Calibri" w:eastAsia="Calibri" w:hAnsi="Calibri"/>
          <w:color w:val="1A1714"/>
          <w:sz w:val="21"/>
          <w:szCs w:val="21"/>
        </w:rPr>
        <w:t xml:space="preserve">, which requires the current one.</w:t>
      </w:r>
    </w:p>
    <w:p>
      <w:pPr>
        <w:pStyle w:val="ListParagraph"/>
        <w:numPr>
          <w:ilvl w:val="0"/>
          <w:numId w:val="2"/>
        </w:numPr>
        <w:spacing w:after="70" w:line="276"/>
      </w:pPr>
      <w:r>
        <w:rPr>
          <w:rFonts w:ascii="Calibri" w:cs="Calibri" w:eastAsia="Calibri" w:hAnsi="Calibri"/>
          <w:b/>
          <w:bCs/>
          <w:color w:val="1A1714"/>
          <w:sz w:val="21"/>
          <w:szCs w:val="21"/>
        </w:rPr>
        <w:t xml:space="preserve">Export everything</w:t>
      </w:r>
      <w:r>
        <w:rPr>
          <w:rFonts w:ascii="Calibri" w:cs="Calibri" w:eastAsia="Calibri" w:hAnsi="Calibri"/>
          <w:color w:val="1A1714"/>
          <w:sz w:val="21"/>
          <w:szCs w:val="21"/>
        </w:rPr>
        <w:t xml:space="preserve"> as a single structured file: conversations, messages, stored memory, every Recognition with the evidence behind it, every piece of feedback, and every correction.</w:t>
      </w:r>
    </w:p>
    <w:p>
      <w:pPr>
        <w:pStyle w:val="ListParagraph"/>
        <w:numPr>
          <w:ilvl w:val="0"/>
          <w:numId w:val="2"/>
        </w:numPr>
        <w:spacing w:after="70" w:line="276"/>
      </w:pPr>
      <w:r>
        <w:rPr>
          <w:rFonts w:ascii="Calibri" w:cs="Calibri" w:eastAsia="Calibri" w:hAnsi="Calibri"/>
          <w:b/>
          <w:bCs/>
          <w:color w:val="1A1714"/>
          <w:sz w:val="21"/>
          <w:szCs w:val="21"/>
        </w:rPr>
        <w:t xml:space="preserve">Delete the account</w:t>
      </w:r>
      <w:r>
        <w:rPr>
          <w:rFonts w:ascii="Calibri" w:cs="Calibri" w:eastAsia="Calibri" w:hAnsi="Calibri"/>
          <w:color w:val="1A1714"/>
          <w:sz w:val="21"/>
          <w:szCs w:val="21"/>
        </w:rPr>
        <w:t xml:space="preserve">, with a 24-hour grace period. During the grace period the person can still sign in for the sole purpose of undoing it.</w:t>
      </w:r>
    </w:p>
    <w:p>
      <w:pPr>
        <w:spacing w:after="120" w:line="288"/>
      </w:pPr>
      <w:r>
        <w:rPr>
          <w:rFonts w:ascii="Calibri" w:cs="Calibri" w:eastAsia="Calibri" w:hAnsi="Calibri"/>
          <w:color w:val="1A1714"/>
          <w:sz w:val="21"/>
          <w:szCs w:val="21"/>
        </w:rPr>
        <w:t xml:space="preserve">Deletion is genuine. When the grace period expires, a background job removes every row belonging to that person from every table that holds user data. Two tables are kept but anonymised rather than deleted — the audit log and the record of model usage and cost — because the business needs those records and neither identifies the person once the link is removed. An automated test derives the list of tables from the live database schema and asserts that no row survives, so a table added in a later phase is covered the day it is created rather than being forgotten.</w:t>
      </w:r>
    </w:p>
    <w:p>
      <w:pPr>
        <w:pStyle w:val="Heading2"/>
        <w:spacing w:after="120" w:before="260"/>
      </w:pPr>
      <w:r>
        <w:rPr>
          <w:rFonts w:ascii="Calibri" w:cs="Calibri" w:eastAsia="Calibri" w:hAnsi="Calibri"/>
          <w:b/>
          <w:bCs/>
          <w:color w:val="8A5A20"/>
          <w:sz w:val="23"/>
          <w:szCs w:val="23"/>
        </w:rPr>
        <w:t xml:space="preserve">3.3  User profile</w:t>
      </w:r>
    </w:p>
    <w:p>
      <w:pPr>
        <w:spacing w:after="120" w:line="288"/>
      </w:pPr>
      <w:r>
        <w:rPr>
          <w:rFonts w:ascii="Calibri" w:cs="Calibri" w:eastAsia="Calibri" w:hAnsi="Calibri"/>
          <w:color w:val="1A1714"/>
          <w:sz w:val="21"/>
          <w:szCs w:val="21"/>
        </w:rPr>
        <w:t xml:space="preserve">The account profile is deliberately small: display name, the name KnoRI should use in conversation, timezone, and the account's status. It is separated from a second and much larger idea — the understanding KnoRI builds of the person over time — which belongs to a different workstream and is stored separately. Keeping the two apart is what allows a person to delete what KnoRI has concluded about them without deleting their account.</w:t>
      </w:r>
    </w:p>
    <w:p>
      <w:pPr>
        <w:spacing w:after="120" w:line="288"/>
      </w:pPr>
      <w:r>
        <w:rPr>
          <w:rFonts w:ascii="Calibri" w:cs="Calibri" w:eastAsia="Calibri" w:hAnsi="Calibri"/>
          <w:color w:val="1A1714"/>
          <w:sz w:val="21"/>
          <w:szCs w:val="21"/>
        </w:rPr>
        <w:t xml:space="preserve">Preferences are stored alongside the profile: whether Recognition is switched on, how many Recognitions a day the person is willing to receive, whether KnoRI should remember anything at all, and whether its tone should be warm or direct. These are read by the engine at decision time, so switching Recognition off stops the work rather than merely hiding the result.</w:t>
      </w:r>
    </w:p>
    <w:p>
      <w:pPr>
        <w:pStyle w:val="Heading2"/>
        <w:spacing w:after="120" w:before="260"/>
      </w:pPr>
      <w:r>
        <w:rPr>
          <w:rFonts w:ascii="Calibri" w:cs="Calibri" w:eastAsia="Calibri" w:hAnsi="Calibri"/>
          <w:b/>
          <w:bCs/>
          <w:color w:val="8A5A20"/>
          <w:sz w:val="23"/>
          <w:szCs w:val="23"/>
        </w:rPr>
        <w:t xml:space="preserve">3.4  Onboarding</w:t>
      </w:r>
    </w:p>
    <w:p>
      <w:pPr>
        <w:spacing w:after="120" w:line="288"/>
      </w:pPr>
      <w:r>
        <w:rPr>
          <w:rFonts w:ascii="Calibri" w:cs="Calibri" w:eastAsia="Calibri" w:hAnsi="Calibri"/>
          <w:color w:val="1A1714"/>
          <w:sz w:val="21"/>
          <w:szCs w:val="21"/>
        </w:rPr>
        <w:t xml:space="preserve">Onboarding is three short steps and is designed to produce something useful rather than merely collect data.</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1700"/>
        <w:gridCol w:w="3730"/>
        <w:gridCol w:w="3930"/>
      </w:tblGrid>
      <w:tr>
        <w:trPr>
          <w:tblHeader/>
        </w:trPr>
        <w:tc>
          <w:tcPr>
            <w:tcW w:type="dxa" w:w="17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Step</w:t>
            </w:r>
          </w:p>
        </w:tc>
        <w:tc>
          <w:tcPr>
            <w:tcW w:type="dxa" w:w="373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What happens</w:t>
            </w:r>
          </w:p>
        </w:tc>
        <w:tc>
          <w:tcPr>
            <w:tcW w:type="dxa" w:w="393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Why it is built this way</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1. About you</w:t>
            </w:r>
          </w:p>
        </w:tc>
        <w:tc>
          <w:tcPr>
            <w:tcW w:type="dxa" w:w="37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Name, the name KnoRI should use, and timezone (detected, confirmed by the person).</w:t>
            </w:r>
          </w:p>
        </w:tc>
        <w:tc>
          <w:tcPr>
            <w:tcW w:type="dxa" w:w="39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timezone is a working input to the engine, not a display preference.</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2. Consent</w:t>
            </w:r>
          </w:p>
        </w:tc>
        <w:tc>
          <w:tcPr>
            <w:tcW w:type="dxa" w:w="37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Plain-language explanation of what is stored and what is inferred, with links to the terms and privacy policy, and a required acknowledgement.</w:t>
            </w:r>
          </w:p>
        </w:tc>
        <w:tc>
          <w:tcPr>
            <w:tcW w:type="dxa" w:w="39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acceptance is recorded with the document versions, the time and the originating address, so consent is evidenced rather than assumed.</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3. First conversation</w:t>
            </w:r>
          </w:p>
        </w:tc>
        <w:tc>
          <w:tcPr>
            <w:tcW w:type="dxa" w:w="37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Three scripted questions, asked one at a time, as a real conversation.</w:t>
            </w:r>
          </w:p>
        </w:tc>
        <w:tc>
          <w:tcPr>
            <w:tcW w:type="dxa" w:w="393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answers are stored as genuine messages in a conversation titled 'Getting started'. Anything KnoRI later remembers from them therefore carries the person's exact words and a link back to where they said it.</w:t>
            </w:r>
          </w:p>
        </w:tc>
      </w:tr>
    </w:tbl>
    <w:p>
      <w:pPr>
        <w:spacing w:after="0"/>
      </w:pPr>
      <w:r>
        <w:t xml:space="preserve"/>
      </w:r>
    </w:p>
    <w:p>
      <w:pPr>
        <w:spacing w:after="120" w:line="288"/>
      </w:pPr>
      <w:r>
        <w:rPr>
          <w:rFonts w:ascii="Calibri" w:cs="Calibri" w:eastAsia="Calibri" w:hAnsi="Calibri"/>
          <w:color w:val="1A1714"/>
          <w:sz w:val="21"/>
          <w:szCs w:val="21"/>
        </w:rPr>
        <w:t xml:space="preserve">The third step is the part that matters technically. Because the answers enter the system through the ordinary conversation path, they are subject to the same evidence rules as everything else: every fact KnoRI stores from onboarding can be traced to the sentence the person typed. Onboarding finishes by showing the person what was noted, in their own words, before they continue.</w:t>
      </w:r>
    </w:p>
    <w:p>
      <w:pPr>
        <w:spacing w:after="120" w:line="288"/>
      </w:pPr>
      <w:r>
        <w:rPr>
          <w:rFonts w:ascii="Calibri" w:cs="Calibri" w:eastAsia="Calibri" w:hAnsi="Calibri"/>
          <w:color w:val="1A1714"/>
          <w:sz w:val="21"/>
          <w:szCs w:val="21"/>
        </w:rPr>
        <w:t xml:space="preserve">On completion, two background jobs are queued: one reads the answers into structured memory and records anything the person asked KnoRI to leave alone, and one compiles the first version of the profile that later conversations read from.</w:t>
      </w:r>
    </w:p>
    <w:p>
      <w:pPr>
        <w:pStyle w:val="Heading2"/>
        <w:spacing w:after="120" w:before="260"/>
      </w:pPr>
      <w:r>
        <w:rPr>
          <w:rFonts w:ascii="Calibri" w:cs="Calibri" w:eastAsia="Calibri" w:hAnsi="Calibri"/>
          <w:b/>
          <w:bCs/>
          <w:color w:val="8A5A20"/>
          <w:sz w:val="23"/>
          <w:szCs w:val="23"/>
        </w:rPr>
        <w:t xml:space="preserve">3.5  Interfaces delivered</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1700"/>
        <w:gridCol w:w="7660"/>
      </w:tblGrid>
      <w:tr>
        <w:trPr>
          <w:tblHeader/>
        </w:trPr>
        <w:tc>
          <w:tcPr>
            <w:tcW w:type="dxa" w:w="17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Area</w:t>
            </w:r>
          </w:p>
        </w:tc>
        <w:tc>
          <w:tcPr>
            <w:tcW w:type="dxa" w:w="76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Endpoints</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Authentication</w:t>
            </w:r>
          </w:p>
        </w:tc>
        <w:tc>
          <w:tcPr>
            <w:tcW w:type="dxa" w:w="766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register · verify-email · resend-verification · login · logout · logout-all · password/forgot · password/reset</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Account</w:t>
            </w:r>
          </w:p>
        </w:tc>
        <w:tc>
          <w:tcPr>
            <w:tcW w:type="dxa" w:w="766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me (read, update, delete) · me/password · me/settings (read, update) · me/legal/accept · me/export · me/undelete</w:t>
            </w:r>
          </w:p>
        </w:tc>
      </w:tr>
      <w:tr>
        <w:tc>
          <w:tcPr>
            <w:tcW w:type="dxa" w:w="17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Onboarding</w:t>
            </w:r>
          </w:p>
        </w:tc>
        <w:tc>
          <w:tcPr>
            <w:tcW w:type="dxa" w:w="766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onboarding (state) · onboarding/answer · onboarding/complete</w:t>
            </w:r>
          </w:p>
        </w:tc>
      </w:tr>
    </w:tbl>
    <w:p>
      <w:pPr>
        <w:spacing w:after="0"/>
      </w:pPr>
      <w:r>
        <w:t xml:space="preserve"/>
      </w:r>
    </w:p>
    <w:p>
      <w:pPr>
        <w:spacing w:after="120" w:line="288"/>
      </w:pPr>
      <w:r>
        <w:rPr>
          <w:rFonts w:ascii="Calibri" w:cs="Calibri" w:eastAsia="Calibri" w:hAnsi="Calibri"/>
          <w:color w:val="1A1714"/>
          <w:sz w:val="21"/>
          <w:szCs w:val="21"/>
        </w:rPr>
        <w:t xml:space="preserve">Supporting data is held in seven tables: </w:t>
      </w:r>
      <w:r>
        <w:rPr>
          <w:rFonts w:ascii="Consolas" w:cs="Consolas" w:eastAsia="Consolas" w:hAnsi="Consolas"/>
          <w:color w:val="8A5A20"/>
          <w:sz w:val="19"/>
          <w:szCs w:val="19"/>
        </w:rPr>
        <w:t xml:space="preserve">users</w:t>
      </w:r>
      <w:r>
        <w:rPr>
          <w:rFonts w:ascii="Calibri" w:cs="Calibri" w:eastAsia="Calibri" w:hAnsi="Calibri"/>
          <w:color w:val="1A1714"/>
          <w:sz w:val="21"/>
          <w:szCs w:val="21"/>
        </w:rPr>
        <w:t xml:space="preserve">, </w:t>
      </w:r>
      <w:r>
        <w:rPr>
          <w:rFonts w:ascii="Consolas" w:cs="Consolas" w:eastAsia="Consolas" w:hAnsi="Consolas"/>
          <w:color w:val="8A5A20"/>
          <w:sz w:val="19"/>
          <w:szCs w:val="19"/>
        </w:rPr>
        <w:t xml:space="preserve">auth_sessions</w:t>
      </w:r>
      <w:r>
        <w:rPr>
          <w:rFonts w:ascii="Calibri" w:cs="Calibri" w:eastAsia="Calibri" w:hAnsi="Calibri"/>
          <w:color w:val="1A1714"/>
          <w:sz w:val="21"/>
          <w:szCs w:val="21"/>
        </w:rPr>
        <w:t xml:space="preserve">, </w:t>
      </w:r>
      <w:r>
        <w:rPr>
          <w:rFonts w:ascii="Consolas" w:cs="Consolas" w:eastAsia="Consolas" w:hAnsi="Consolas"/>
          <w:color w:val="8A5A20"/>
          <w:sz w:val="19"/>
          <w:szCs w:val="19"/>
        </w:rPr>
        <w:t xml:space="preserve">email_tokens</w:t>
      </w:r>
      <w:r>
        <w:rPr>
          <w:rFonts w:ascii="Calibri" w:cs="Calibri" w:eastAsia="Calibri" w:hAnsi="Calibri"/>
          <w:color w:val="1A1714"/>
          <w:sz w:val="21"/>
          <w:szCs w:val="21"/>
        </w:rPr>
        <w:t xml:space="preserve">, </w:t>
      </w:r>
      <w:r>
        <w:rPr>
          <w:rFonts w:ascii="Consolas" w:cs="Consolas" w:eastAsia="Consolas" w:hAnsi="Consolas"/>
          <w:color w:val="8A5A20"/>
          <w:sz w:val="19"/>
          <w:szCs w:val="19"/>
        </w:rPr>
        <w:t xml:space="preserve">user_settings</w:t>
      </w:r>
      <w:r>
        <w:rPr>
          <w:rFonts w:ascii="Calibri" w:cs="Calibri" w:eastAsia="Calibri" w:hAnsi="Calibri"/>
          <w:color w:val="1A1714"/>
          <w:sz w:val="21"/>
          <w:szCs w:val="21"/>
        </w:rPr>
        <w:t xml:space="preserve">, </w:t>
      </w:r>
      <w:r>
        <w:rPr>
          <w:rFonts w:ascii="Consolas" w:cs="Consolas" w:eastAsia="Consolas" w:hAnsi="Consolas"/>
          <w:color w:val="8A5A20"/>
          <w:sz w:val="19"/>
          <w:szCs w:val="19"/>
        </w:rPr>
        <w:t xml:space="preserve">legal_acceptances</w:t>
      </w:r>
      <w:r>
        <w:rPr>
          <w:rFonts w:ascii="Calibri" w:cs="Calibri" w:eastAsia="Calibri" w:hAnsi="Calibri"/>
          <w:color w:val="1A1714"/>
          <w:sz w:val="21"/>
          <w:szCs w:val="21"/>
        </w:rPr>
        <w:t xml:space="preserve">, </w:t>
      </w:r>
      <w:r>
        <w:rPr>
          <w:rFonts w:ascii="Consolas" w:cs="Consolas" w:eastAsia="Consolas" w:hAnsi="Consolas"/>
          <w:color w:val="8A5A20"/>
          <w:sz w:val="19"/>
          <w:szCs w:val="19"/>
        </w:rPr>
        <w:t xml:space="preserve">invite_codes</w:t>
      </w:r>
      <w:r>
        <w:rPr>
          <w:rFonts w:ascii="Calibri" w:cs="Calibri" w:eastAsia="Calibri" w:hAnsi="Calibri"/>
          <w:color w:val="1A1714"/>
          <w:sz w:val="21"/>
          <w:szCs w:val="21"/>
        </w:rPr>
        <w:t xml:space="preserve"> and </w:t>
      </w:r>
      <w:r>
        <w:rPr>
          <w:rFonts w:ascii="Consolas" w:cs="Consolas" w:eastAsia="Consolas" w:hAnsi="Consolas"/>
          <w:color w:val="8A5A20"/>
          <w:sz w:val="19"/>
          <w:szCs w:val="19"/>
        </w:rPr>
        <w:t xml:space="preserve">audit_log</w:t>
      </w:r>
      <w:r>
        <w:rPr>
          <w:rFonts w:ascii="Calibri" w:cs="Calibri" w:eastAsia="Calibri" w:hAnsi="Calibri"/>
          <w:color w:val="1A1714"/>
          <w:sz w:val="21"/>
          <w:szCs w:val="21"/>
        </w:rPr>
        <w:t xml:space="preserve">. The web application provides sign-up, sign-in, email verification, password reset and the onboarding flow as finished screens with inline validation and clear error states.</w:t>
      </w:r>
    </w:p>
    <w:p>
      <w:r>
        <w:br w:type="page"/>
      </w:r>
    </w:p>
    <w:p>
      <w:pPr>
        <w:pStyle w:val="Heading1"/>
        <w:spacing w:after="160" w:before="360"/>
      </w:pPr>
      <w:r>
        <w:rPr>
          <w:rFonts w:ascii="Georgia" w:cs="Georgia" w:eastAsia="Georgia" w:hAnsi="Georgia"/>
          <w:b/>
          <w:bCs/>
          <w:color w:val="1A1714"/>
          <w:sz w:val="30"/>
          <w:szCs w:val="30"/>
        </w:rPr>
        <w:t xml:space="preserve">4.  Initial context capture, core navigation, settings, privacy and security fundamentals</w:t>
      </w:r>
    </w:p>
    <w:p>
      <w:pPr>
        <w:pStyle w:val="Heading2"/>
        <w:spacing w:after="120" w:before="260"/>
      </w:pPr>
      <w:r>
        <w:rPr>
          <w:rFonts w:ascii="Calibri" w:cs="Calibri" w:eastAsia="Calibri" w:hAnsi="Calibri"/>
          <w:b/>
          <w:bCs/>
          <w:color w:val="8A5A20"/>
          <w:sz w:val="23"/>
          <w:szCs w:val="23"/>
        </w:rPr>
        <w:t xml:space="preserve">4.1  Initial context capture</w:t>
      </w:r>
    </w:p>
    <w:p>
      <w:pPr>
        <w:spacing w:after="120" w:line="288"/>
      </w:pPr>
      <w:r>
        <w:rPr>
          <w:rFonts w:ascii="Calibri" w:cs="Calibri" w:eastAsia="Calibri" w:hAnsi="Calibri"/>
          <w:color w:val="1A1714"/>
          <w:sz w:val="21"/>
          <w:szCs w:val="21"/>
        </w:rPr>
        <w:t xml:space="preserve">A product that claims to understand someone is worthless on day one if it starts empty. Initial context capture is how KnoRI has something honest to show from the first session.</w:t>
      </w:r>
    </w:p>
    <w:p>
      <w:pPr>
        <w:spacing w:after="120" w:line="288"/>
      </w:pPr>
      <w:r>
        <w:rPr>
          <w:rFonts w:ascii="Calibri" w:cs="Calibri" w:eastAsia="Calibri" w:hAnsi="Calibri"/>
          <w:color w:val="1A1714"/>
          <w:sz w:val="21"/>
          <w:szCs w:val="21"/>
        </w:rPr>
        <w:t xml:space="preserve">The onboarding conversation described in section 3.4 is the first source. As soon as those messages exist, the extraction step reads them and stores what the person explicitly told KnoRI — facts, preferences, goals, routines, constraints — each one carrying the exact words it came from and a link to the message. Nothing is stored that cannot be shown back to the person as a quotation.</w:t>
      </w:r>
    </w:p>
    <w:p>
      <w:pPr>
        <w:spacing w:after="120" w:line="288"/>
      </w:pPr>
      <w:r>
        <w:rPr>
          <w:rFonts w:ascii="Calibri" w:cs="Calibri" w:eastAsia="Calibri" w:hAnsi="Calibri"/>
          <w:color w:val="1A1714"/>
          <w:sz w:val="21"/>
          <w:szCs w:val="21"/>
        </w:rPr>
        <w:t xml:space="preserve">Two rules are enforced in code rather than left to the language model. First, a quotation that cannot be found character-for-character in the message it claims to come from is discarded and counted, never stored. Second, statements the person makes about other people are kept as the person's own words and are never turned into a record about anybody else.</w:t>
      </w:r>
    </w:p>
    <w:p>
      <w:pPr>
        <w:pStyle w:val="Heading2"/>
        <w:spacing w:after="120" w:before="260"/>
      </w:pPr>
      <w:r>
        <w:rPr>
          <w:rFonts w:ascii="Calibri" w:cs="Calibri" w:eastAsia="Calibri" w:hAnsi="Calibri"/>
          <w:b/>
          <w:bCs/>
          <w:color w:val="8A5A20"/>
          <w:sz w:val="23"/>
          <w:szCs w:val="23"/>
        </w:rPr>
        <w:t xml:space="preserve">4.2  Core navigation</w:t>
      </w:r>
    </w:p>
    <w:p>
      <w:pPr>
        <w:spacing w:after="120" w:line="288"/>
      </w:pPr>
      <w:r>
        <w:rPr>
          <w:rFonts w:ascii="Calibri" w:cs="Calibri" w:eastAsia="Calibri" w:hAnsi="Calibri"/>
          <w:color w:val="1A1714"/>
          <w:sz w:val="21"/>
          <w:szCs w:val="21"/>
        </w:rPr>
        <w:t xml:space="preserve">The application shell is a single, consistent frame around every screen: a left rail on desktop, a bottom tab bar on mobile, with four destinations — Chat, Recognitions, Memory and Settings — plus an account menu. The Recognitions tab carries a count of anything new, so the person is told once and never nagged.</w:t>
      </w:r>
    </w:p>
    <w:p>
      <w:pPr>
        <w:spacing w:after="120" w:line="288"/>
      </w:pPr>
      <w:r>
        <w:rPr>
          <w:rFonts w:ascii="Calibri" w:cs="Calibri" w:eastAsia="Calibri" w:hAnsi="Calibri"/>
          <w:color w:val="1A1714"/>
          <w:sz w:val="21"/>
          <w:szCs w:val="21"/>
        </w:rPr>
        <w:t xml:space="preserve">The shell also carries the parts that are easy to leave out: a skip-to-content link for keyboard and screen-reader users, a light and dark appearance that follows the device setting, and a consistent page header so every screen announces what it is.</w:t>
      </w:r>
    </w:p>
    <w:p>
      <w:pPr>
        <w:pStyle w:val="Heading2"/>
        <w:spacing w:after="120" w:before="260"/>
      </w:pPr>
      <w:r>
        <w:rPr>
          <w:rFonts w:ascii="Calibri" w:cs="Calibri" w:eastAsia="Calibri" w:hAnsi="Calibri"/>
          <w:b/>
          <w:bCs/>
          <w:color w:val="8A5A20"/>
          <w:sz w:val="23"/>
          <w:szCs w:val="23"/>
        </w:rPr>
        <w:t xml:space="preserve">4.3  Settings</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400"/>
        <w:gridCol w:w="6960"/>
      </w:tblGrid>
      <w:tr>
        <w:trPr>
          <w:tblHeader/>
        </w:trPr>
        <w:tc>
          <w:tcPr>
            <w:tcW w:type="dxa" w:w="24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Setting</w:t>
            </w:r>
          </w:p>
        </w:tc>
        <w:tc>
          <w:tcPr>
            <w:tcW w:type="dxa" w:w="69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Effect</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Recognition on or off</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When off, the engine does not run. No analysis is performed and no cost is incurred.</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Recognitions per day</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ceiling between 0 and 5, enforced by the decision rules themselves rather than by the interface.</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Memory on or off</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When off, nothing new is extracted from conversation. What is already stored remains visible and deletable.</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Tone</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Warm or direct. Read by the conversation at the time each reply is written.</w:t>
            </w:r>
          </w:p>
        </w:tc>
      </w:tr>
      <w:tr>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Account</w:t>
            </w:r>
          </w:p>
        </w:tc>
        <w:tc>
          <w:tcPr>
            <w:tcW w:type="dxa" w:w="69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Display name, name in conversation, timezone, password, and sign out everywhere.</w:t>
            </w:r>
          </w:p>
        </w:tc>
      </w:tr>
    </w:tbl>
    <w:p>
      <w:pPr>
        <w:pStyle w:val="Heading2"/>
        <w:spacing w:after="120" w:before="260"/>
      </w:pPr>
      <w:r>
        <w:rPr>
          <w:rFonts w:ascii="Calibri" w:cs="Calibri" w:eastAsia="Calibri" w:hAnsi="Calibri"/>
          <w:b/>
          <w:bCs/>
          <w:color w:val="8A5A20"/>
          <w:sz w:val="23"/>
          <w:szCs w:val="23"/>
        </w:rPr>
        <w:t xml:space="preserve">4.4  Privacy and security fundamentals</w:t>
      </w:r>
    </w:p>
    <w:p>
      <w:pPr>
        <w:spacing w:after="120" w:line="288"/>
      </w:pPr>
      <w:r>
        <w:rPr>
          <w:rFonts w:ascii="Calibri" w:cs="Calibri" w:eastAsia="Calibri" w:hAnsi="Calibri"/>
          <w:color w:val="1A1714"/>
          <w:sz w:val="21"/>
          <w:szCs w:val="21"/>
        </w:rPr>
        <w:t xml:space="preserve">These controls apply to the whole product, not only to this workstream, and were built before any feature depended on them.</w:t>
      </w:r>
    </w:p>
    <w:p>
      <w:pPr>
        <w:pStyle w:val="ListParagraph"/>
        <w:numPr>
          <w:ilvl w:val="0"/>
          <w:numId w:val="2"/>
        </w:numPr>
        <w:spacing w:after="70" w:line="276"/>
      </w:pPr>
      <w:r>
        <w:rPr>
          <w:rFonts w:ascii="Calibri" w:cs="Calibri" w:eastAsia="Calibri" w:hAnsi="Calibri"/>
          <w:b/>
          <w:bCs/>
          <w:color w:val="1A1714"/>
          <w:sz w:val="21"/>
          <w:szCs w:val="21"/>
        </w:rPr>
        <w:t xml:space="preserve">Separation between accounts.</w:t>
      </w:r>
      <w:r>
        <w:rPr>
          <w:rFonts w:ascii="Calibri" w:cs="Calibri" w:eastAsia="Calibri" w:hAnsi="Calibri"/>
          <w:color w:val="1A1714"/>
          <w:sz w:val="21"/>
          <w:szCs w:val="21"/>
        </w:rPr>
        <w:t xml:space="preserve"> Every table that holds personal data carries the owner's identifier, and every query filters on it. No endpoint accepts a user identifier from the caller. A request for another person's record returns 'not found' rather than 'forbidden', so the interface does not confirm that the record exists. This is covered by automated tests.</w:t>
      </w:r>
    </w:p>
    <w:p>
      <w:pPr>
        <w:pStyle w:val="ListParagraph"/>
        <w:numPr>
          <w:ilvl w:val="0"/>
          <w:numId w:val="2"/>
        </w:numPr>
        <w:spacing w:after="70" w:line="276"/>
      </w:pPr>
      <w:r>
        <w:rPr>
          <w:rFonts w:ascii="Calibri" w:cs="Calibri" w:eastAsia="Calibri" w:hAnsi="Calibri"/>
          <w:b/>
          <w:bCs/>
          <w:color w:val="1A1714"/>
          <w:sz w:val="21"/>
          <w:szCs w:val="21"/>
        </w:rPr>
        <w:t xml:space="preserve">Private conversations.</w:t>
      </w:r>
      <w:r>
        <w:rPr>
          <w:rFonts w:ascii="Calibri" w:cs="Calibri" w:eastAsia="Calibri" w:hAnsi="Calibri"/>
          <w:color w:val="1A1714"/>
          <w:sz w:val="21"/>
          <w:szCs w:val="21"/>
        </w:rPr>
        <w:t xml:space="preserve"> A conversation can be marked private at the moment it is created; nothing in it is extracted, stored as memory, or used as evidence.</w:t>
      </w:r>
    </w:p>
    <w:p>
      <w:pPr>
        <w:pStyle w:val="ListParagraph"/>
        <w:numPr>
          <w:ilvl w:val="0"/>
          <w:numId w:val="2"/>
        </w:numPr>
        <w:spacing w:after="70" w:line="276"/>
      </w:pPr>
      <w:r>
        <w:rPr>
          <w:rFonts w:ascii="Calibri" w:cs="Calibri" w:eastAsia="Calibri" w:hAnsi="Calibri"/>
          <w:b/>
          <w:bCs/>
          <w:color w:val="1A1714"/>
          <w:sz w:val="21"/>
          <w:szCs w:val="21"/>
        </w:rPr>
        <w:t xml:space="preserve">Sensitive categories.</w:t>
      </w:r>
      <w:r>
        <w:rPr>
          <w:rFonts w:ascii="Calibri" w:cs="Calibri" w:eastAsia="Calibri" w:hAnsi="Calibri"/>
          <w:color w:val="1A1714"/>
          <w:sz w:val="21"/>
          <w:szCs w:val="21"/>
        </w:rPr>
        <w:t xml:space="preserve"> A defined list — health, mental health, sexual orientation, religion, ethnicity, immigration status, criminal history, politics and financial distress — is never used to infer anything about a person. The rule is enforced in code at two points, not merely requested of the language model.</w:t>
      </w:r>
    </w:p>
    <w:p>
      <w:pPr>
        <w:pStyle w:val="ListParagraph"/>
        <w:numPr>
          <w:ilvl w:val="0"/>
          <w:numId w:val="2"/>
        </w:numPr>
        <w:spacing w:after="70" w:line="276"/>
      </w:pPr>
      <w:r>
        <w:rPr>
          <w:rFonts w:ascii="Calibri" w:cs="Calibri" w:eastAsia="Calibri" w:hAnsi="Calibri"/>
          <w:b/>
          <w:bCs/>
          <w:color w:val="1A1714"/>
          <w:sz w:val="21"/>
          <w:szCs w:val="21"/>
        </w:rPr>
        <w:t xml:space="preserve">Data export and erasure.</w:t>
      </w:r>
      <w:r>
        <w:rPr>
          <w:rFonts w:ascii="Calibri" w:cs="Calibri" w:eastAsia="Calibri" w:hAnsi="Calibri"/>
          <w:color w:val="1A1714"/>
          <w:sz w:val="21"/>
          <w:szCs w:val="21"/>
        </w:rPr>
        <w:t xml:space="preserve"> Described in section 3.2. Both are self-service.</w:t>
      </w:r>
    </w:p>
    <w:p>
      <w:pPr>
        <w:pStyle w:val="ListParagraph"/>
        <w:numPr>
          <w:ilvl w:val="0"/>
          <w:numId w:val="2"/>
        </w:numPr>
        <w:spacing w:after="70" w:line="276"/>
      </w:pPr>
      <w:r>
        <w:rPr>
          <w:rFonts w:ascii="Calibri" w:cs="Calibri" w:eastAsia="Calibri" w:hAnsi="Calibri"/>
          <w:b/>
          <w:bCs/>
          <w:color w:val="1A1714"/>
          <w:sz w:val="21"/>
          <w:szCs w:val="21"/>
        </w:rPr>
        <w:t xml:space="preserve">Transport and headers.</w:t>
      </w:r>
      <w:r>
        <w:rPr>
          <w:rFonts w:ascii="Calibri" w:cs="Calibri" w:eastAsia="Calibri" w:hAnsi="Calibri"/>
          <w:color w:val="1A1714"/>
          <w:sz w:val="21"/>
          <w:szCs w:val="21"/>
        </w:rPr>
        <w:t xml:space="preserve"> In production, traffic is served over TLS with strict transport security, content-type and framing protections, and a content security policy.</w:t>
      </w:r>
    </w:p>
    <w:p>
      <w:pPr>
        <w:pStyle w:val="ListParagraph"/>
        <w:numPr>
          <w:ilvl w:val="0"/>
          <w:numId w:val="2"/>
        </w:numPr>
        <w:spacing w:after="70" w:line="276"/>
      </w:pPr>
      <w:r>
        <w:rPr>
          <w:rFonts w:ascii="Calibri" w:cs="Calibri" w:eastAsia="Calibri" w:hAnsi="Calibri"/>
          <w:b/>
          <w:bCs/>
          <w:color w:val="1A1714"/>
          <w:sz w:val="21"/>
          <w:szCs w:val="21"/>
        </w:rPr>
        <w:t xml:space="preserve">Logging discipline.</w:t>
      </w:r>
      <w:r>
        <w:rPr>
          <w:rFonts w:ascii="Calibri" w:cs="Calibri" w:eastAsia="Calibri" w:hAnsi="Calibri"/>
          <w:color w:val="1A1714"/>
          <w:sz w:val="21"/>
          <w:szCs w:val="21"/>
        </w:rPr>
        <w:t xml:space="preserve"> Message content is never written to the logs at ordinary logging levels. Every request carries an identifier that appears both in the response and in the logs, so a support question can be traced without reading anybody's conversation.</w:t>
      </w:r>
    </w:p>
    <w:p>
      <w:pPr>
        <w:pStyle w:val="ListParagraph"/>
        <w:numPr>
          <w:ilvl w:val="0"/>
          <w:numId w:val="2"/>
        </w:numPr>
        <w:spacing w:after="70" w:line="276"/>
      </w:pPr>
      <w:r>
        <w:rPr>
          <w:rFonts w:ascii="Calibri" w:cs="Calibri" w:eastAsia="Calibri" w:hAnsi="Calibri"/>
          <w:b/>
          <w:bCs/>
          <w:color w:val="1A1714"/>
          <w:sz w:val="21"/>
          <w:szCs w:val="21"/>
        </w:rPr>
        <w:t xml:space="preserve">Audit trail.</w:t>
      </w:r>
      <w:r>
        <w:rPr>
          <w:rFonts w:ascii="Calibri" w:cs="Calibri" w:eastAsia="Calibri" w:hAnsi="Calibri"/>
          <w:color w:val="1A1714"/>
          <w:sz w:val="21"/>
          <w:szCs w:val="21"/>
        </w:rPr>
        <w:t xml:space="preserve"> Account and privacy actions are recorded, and the record survives deletion of the account in anonymised form.</w:t>
      </w:r>
    </w:p>
    <w:p>
      <w:r>
        <w:br w:type="page"/>
      </w:r>
    </w:p>
    <w:p>
      <w:pPr>
        <w:pStyle w:val="Heading1"/>
        <w:spacing w:after="160" w:before="360"/>
      </w:pPr>
      <w:r>
        <w:rPr>
          <w:rFonts w:ascii="Georgia" w:cs="Georgia" w:eastAsia="Georgia" w:hAnsi="Georgia"/>
          <w:b/>
          <w:bCs/>
          <w:color w:val="1A1714"/>
          <w:sz w:val="30"/>
          <w:szCs w:val="30"/>
        </w:rPr>
        <w:t xml:space="preserve">5.  Core application UX and production deployment foundation</w:t>
      </w:r>
    </w:p>
    <w:p>
      <w:pPr>
        <w:pStyle w:val="Heading2"/>
        <w:spacing w:after="120" w:before="260"/>
      </w:pPr>
      <w:r>
        <w:rPr>
          <w:rFonts w:ascii="Calibri" w:cs="Calibri" w:eastAsia="Calibri" w:hAnsi="Calibri"/>
          <w:b/>
          <w:bCs/>
          <w:color w:val="8A5A20"/>
          <w:sz w:val="23"/>
          <w:szCs w:val="23"/>
        </w:rPr>
        <w:t xml:space="preserve">5.1  Core application experience</w:t>
      </w:r>
    </w:p>
    <w:p>
      <w:pPr>
        <w:spacing w:after="120" w:line="288"/>
      </w:pPr>
      <w:r>
        <w:rPr>
          <w:rFonts w:ascii="Calibri" w:cs="Calibri" w:eastAsia="Calibri" w:hAnsi="Calibri"/>
          <w:color w:val="1A1714"/>
          <w:sz w:val="21"/>
          <w:szCs w:val="21"/>
        </w:rPr>
        <w:t xml:space="preserve">The interface was built as a design system first and screens second, so that later phases extend a consistent product rather than accumulate styles. It is quiet, readable and deliberately unlike a generic AI application: a calm paper-toned palette, one accent colour reserved for the moment KnoRI has noticed something, a serif face for anything KnoRI claims about the person and a plain face for everything the product says about itself.</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000"/>
        <w:gridCol w:w="7360"/>
      </w:tblGrid>
      <w:tr>
        <w:trPr>
          <w:tblHeader/>
        </w:trPr>
        <w:tc>
          <w:tcPr>
            <w:tcW w:type="dxa" w:w="20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Layer</w:t>
            </w:r>
          </w:p>
        </w:tc>
        <w:tc>
          <w:tcPr>
            <w:tcW w:type="dxa" w:w="73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What was built</w:t>
            </w:r>
          </w:p>
        </w:tc>
      </w:tr>
      <w:tr>
        <w:tc>
          <w:tcPr>
            <w:tcW w:type="dxa" w:w="2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Foundations</w:t>
            </w:r>
          </w:p>
        </w:tc>
        <w:tc>
          <w:tcPr>
            <w:tcW w:type="dxa" w:w="7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Colour, type scale, spacing and elevation as design tokens, with a full light and dark treatment driven by the device setting.</w:t>
            </w:r>
          </w:p>
        </w:tc>
      </w:tr>
      <w:tr>
        <w:tc>
          <w:tcPr>
            <w:tcW w:type="dxa" w:w="2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Components</w:t>
            </w:r>
          </w:p>
        </w:tc>
        <w:tc>
          <w:tcPr>
            <w:tcW w:type="dxa" w:w="7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21 reusable interface components — buttons, inputs, fields, selects, switches, tabs, cards, chips, badges, dialogs, bottom sheets and side panels, tooltips, toasts, avatars, skeletons, alerts and empty states.</w:t>
            </w:r>
          </w:p>
        </w:tc>
      </w:tr>
      <w:tr>
        <w:tc>
          <w:tcPr>
            <w:tcW w:type="dxa" w:w="2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States</w:t>
            </w:r>
          </w:p>
        </w:tc>
        <w:tc>
          <w:tcPr>
            <w:tcW w:type="dxa" w:w="7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Every list and screen has a defined loading, empty and error state. Errors show a reference that matches the server log.</w:t>
            </w:r>
          </w:p>
        </w:tc>
      </w:tr>
      <w:tr>
        <w:tc>
          <w:tcPr>
            <w:tcW w:type="dxa" w:w="2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Accessibility</w:t>
            </w:r>
          </w:p>
        </w:tc>
        <w:tc>
          <w:tcPr>
            <w:tcW w:type="dxa" w:w="7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Keyboard operation throughout, visible focus, labelled controls, trapped focus in dialogs, contrast at AA, and respect for reduced-motion preferences.</w:t>
            </w:r>
          </w:p>
        </w:tc>
      </w:tr>
      <w:tr>
        <w:tc>
          <w:tcPr>
            <w:tcW w:type="dxa" w:w="2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Responsiveness</w:t>
            </w:r>
          </w:p>
        </w:tc>
        <w:tc>
          <w:tcPr>
            <w:tcW w:type="dxa" w:w="7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single layout that works from 360 px upward, with navigation, dialogs and panels adapting rather than being duplicated.</w:t>
            </w:r>
          </w:p>
        </w:tc>
      </w:tr>
    </w:tbl>
    <w:p>
      <w:pPr>
        <w:pStyle w:val="Heading2"/>
        <w:spacing w:after="120" w:before="260"/>
      </w:pPr>
      <w:r>
        <w:rPr>
          <w:rFonts w:ascii="Calibri" w:cs="Calibri" w:eastAsia="Calibri" w:hAnsi="Calibri"/>
          <w:b/>
          <w:bCs/>
          <w:color w:val="8A5A20"/>
          <w:sz w:val="23"/>
          <w:szCs w:val="23"/>
        </w:rPr>
        <w:t xml:space="preserve">5.2  Production deployment foundation</w:t>
      </w:r>
    </w:p>
    <w:p>
      <w:pPr>
        <w:spacing w:after="120" w:line="288"/>
      </w:pPr>
      <w:r>
        <w:rPr>
          <w:rFonts w:ascii="Calibri" w:cs="Calibri" w:eastAsia="Calibri" w:hAnsi="Calibri"/>
          <w:color w:val="1A1714"/>
          <w:sz w:val="21"/>
          <w:szCs w:val="21"/>
        </w:rPr>
        <w:t xml:space="preserve">The deployment foundation is complete and scripted. It is written for a single server, which is what Phase 1 requires, and it is deliberately boring: one database, no message broker, no orchestration platform, nothing that requires specialist knowledge to operate or to hand over.</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200"/>
        <w:gridCol w:w="7160"/>
      </w:tblGrid>
      <w:tr>
        <w:trPr>
          <w:tblHeader/>
        </w:trPr>
        <w:tc>
          <w:tcPr>
            <w:tcW w:type="dxa" w:w="22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Component</w:t>
            </w:r>
          </w:p>
        </w:tc>
        <w:tc>
          <w:tcPr>
            <w:tcW w:type="dxa" w:w="71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What is provided</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Container stack</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production composition of six services: reverse proxy, database, application interface, background worker, web application and a backup service. Database migrations run as a gated step before the application starts.</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Reverse proxy</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Automatic TLS certificates and renewal, security headers, request size limits, and correct handling of streaming responses.</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Images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Built by continuous integration and pulled by the server. The server never builds, so a deployment cannot starve the database of memory.</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Deployment</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single command that pulls the release, migrates, restarts, waits for the health check, and rolls back to the previous release automatically if that check fails.</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Server preparation</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repeatable script that prepares a clean Ubuntu server: container runtime, firewall, intrusion protection, automatic security updates and a deployment user.</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Backups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Encrypted database dumps every six hours, verified by test-restoring each one, retained locally and pushed to off-site storage, with the result recorded where the operations page can read it.</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Restore</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scripted restore drill that rebuilds into a scratch database, runs integrity checks and reports its timings against the agreed recovery target.</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Health and readiness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Separate endpoints for 'the process is alive' and 'the system is ready', the latter confirming the database, the migration state and a recent heartbeat from the background worker.</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Continuous integration</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Every change runs linting, type checking, the full backend suite against a real database, frontend linting, type checking, unit tests and a production build, and proves the migration can be reversed and re-applied.</w:t>
            </w:r>
          </w:p>
        </w:tc>
      </w:tr>
      <w:tr>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Secret handling</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 single environment file outside version control, a documented example listing every variable, a pre-deployment check that refuses to proceed on missing or placeholder values, and a rotation script.</w:t>
            </w:r>
          </w:p>
        </w:tc>
      </w:tr>
    </w:tbl>
    <w:p>
      <w:pPr>
        <w:spacing w:after="0"/>
      </w:pPr>
      <w:r>
        <w:t xml:space="preserve"/>
      </w:r>
    </w:p>
    <w:p>
      <w:pPr>
        <w:spacing w:after="120" w:line="288"/>
      </w:pPr>
      <w:r>
        <w:rPr>
          <w:rFonts w:ascii="Calibri" w:cs="Calibri" w:eastAsia="Calibri" w:hAnsi="Calibri"/>
          <w:i/>
          <w:iCs/>
          <w:color w:val="5A544C"/>
          <w:sz w:val="21"/>
          <w:szCs w:val="21"/>
        </w:rPr>
        <w:t xml:space="preserve">Status note: this foundation has been built, scripted and reviewed, and the application itself runs end to end on a development environment. It has not yet been executed against the client's production server, which requires the server, domain and credentials to be in place.</w:t>
      </w:r>
    </w:p>
    <w:p>
      <w:pPr>
        <w:pStyle w:val="Heading1"/>
        <w:spacing w:after="160" w:before="360"/>
      </w:pPr>
      <w:r>
        <w:rPr>
          <w:rFonts w:ascii="Georgia" w:cs="Georgia" w:eastAsia="Georgia" w:hAnsi="Georgia"/>
          <w:b/>
          <w:bCs/>
          <w:color w:val="1A1714"/>
          <w:sz w:val="30"/>
          <w:szCs w:val="30"/>
        </w:rPr>
        <w:t xml:space="preserve">6.  Approved web/mobile application foundation</w:t>
      </w:r>
    </w:p>
    <w:p>
      <w:pPr>
        <w:spacing w:after="120" w:line="288"/>
      </w:pPr>
      <w:r>
        <w:rPr>
          <w:rFonts w:ascii="Calibri" w:cs="Calibri" w:eastAsia="Calibri" w:hAnsi="Calibri"/>
          <w:color w:val="1A1714"/>
          <w:sz w:val="21"/>
          <w:szCs w:val="21"/>
        </w:rPr>
        <w:t xml:space="preserve">Phase 1 delivers one application that serves both desktop and mobile browsers from a single codebase, which is the approved foundation for this phase. A separate native mobile application is not part of Phase 1 and would be handled as a change request.</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1900"/>
        <w:gridCol w:w="7460"/>
      </w:tblGrid>
      <w:tr>
        <w:trPr>
          <w:tblHeader/>
        </w:trPr>
        <w:tc>
          <w:tcPr>
            <w:tcW w:type="dxa" w:w="19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Aspect</w:t>
            </w:r>
          </w:p>
        </w:tc>
        <w:tc>
          <w:tcPr>
            <w:tcW w:type="dxa" w:w="74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Decision and rationale</w:t>
            </w:r>
          </w:p>
        </w:tc>
      </w:tr>
      <w:tr>
        <w:tc>
          <w:tcPr>
            <w:tcW w:type="dxa" w:w="19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Framework</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Next.js 15 with the App Router and TypeScript in strict mode. A mainstream, long-supported choice that another team can pick up without specialist knowledge.</w:t>
            </w:r>
          </w:p>
        </w:tc>
      </w:tr>
      <w:tr>
        <w:tc>
          <w:tcPr>
            <w:tcW w:type="dxa" w:w="19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Mobile support</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same application, laid out responsively from 360 px. Navigation becomes a bottom tab bar, side panels become bottom sheets, and touch targets are sized for the hand.</w:t>
            </w:r>
          </w:p>
        </w:tc>
      </w:tr>
      <w:tr>
        <w:tc>
          <w:tcPr>
            <w:tcW w:type="dxa" w:w="19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Interface contract</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web application talks to the backend over one documented interface, with an automatically published specification. A future native application would use the same interface without server changes.</w:t>
            </w:r>
          </w:p>
        </w:tc>
      </w:tr>
      <w:tr>
        <w:tc>
          <w:tcPr>
            <w:tcW w:type="dxa" w:w="19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Session handling</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The same cookie-based session as the web application, with no token stored in browser storage where another script could reach it.</w:t>
            </w:r>
          </w:p>
        </w:tc>
      </w:tr>
      <w:tr>
        <w:tc>
          <w:tcPr>
            <w:tcW w:type="dxa" w:w="19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Build quality</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Linting, strict type checking, component tests and a production build all run on every change.</w:t>
            </w:r>
          </w:p>
        </w:tc>
      </w:tr>
    </w:tbl>
    <w:p>
      <w:r>
        <w:br w:type="page"/>
      </w:r>
    </w:p>
    <w:p>
      <w:pPr>
        <w:pStyle w:val="Heading1"/>
        <w:spacing w:after="160" w:before="360"/>
      </w:pPr>
      <w:r>
        <w:rPr>
          <w:rFonts w:ascii="Georgia" w:cs="Georgia" w:eastAsia="Georgia" w:hAnsi="Georgia"/>
          <w:b/>
          <w:bCs/>
          <w:color w:val="1A1714"/>
          <w:sz w:val="30"/>
          <w:szCs w:val="30"/>
        </w:rPr>
        <w:t xml:space="preserve">7.  Evidence of quality</w:t>
      </w:r>
    </w:p>
    <w:p>
      <w:pPr>
        <w:spacing w:after="120" w:line="288"/>
      </w:pPr>
      <w:r>
        <w:rPr>
          <w:rFonts w:ascii="Calibri" w:cs="Calibri" w:eastAsia="Calibri" w:hAnsi="Calibri"/>
          <w:color w:val="1A1714"/>
          <w:sz w:val="21"/>
          <w:szCs w:val="21"/>
        </w:rPr>
        <w:t xml:space="preserve">The following were run against the delivered code and are reproducible by the client on their own machine.</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000"/>
        <w:gridCol w:w="6360"/>
      </w:tblGrid>
      <w:tr>
        <w:trPr>
          <w:tblHeader/>
        </w:trPr>
        <w:tc>
          <w:tcPr>
            <w:tcW w:type="dxa" w:w="30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Check</w:t>
            </w:r>
          </w:p>
        </w:tc>
        <w:tc>
          <w:tcPr>
            <w:tcW w:type="dxa" w:w="63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Result</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Backend automated tests</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779 passed, including tests that run against a real PostgreSQL database</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Frontend automated tests</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40 passed</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Backend static analysis</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ruff (style and correctness) and mypy (types) report no issues</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Frontend static analysis</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ESLint and the TypeScript compiler report no issues</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Production build</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Compiles cleanly; all application routes generate</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Database migration</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Applied, reversed to an empty database, and re-applied successfully</w:t>
            </w:r>
          </w:p>
        </w:tc>
      </w:tr>
      <w:tr>
        <w:tc>
          <w:tcPr>
            <w:tcW w:type="dxa" w:w="300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End-to-end check</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Every screen loaded in a real browser with no console errors and no failed requests; sign-up, sign-in, onboarding, conversation and account flows exercised</w:t>
            </w:r>
          </w:p>
        </w:tc>
      </w:tr>
    </w:tbl>
    <w:p>
      <w:pPr>
        <w:pStyle w:val="Heading2"/>
        <w:spacing w:after="120" w:before="260"/>
      </w:pPr>
      <w:r>
        <w:rPr>
          <w:rFonts w:ascii="Calibri" w:cs="Calibri" w:eastAsia="Calibri" w:hAnsi="Calibri"/>
          <w:b/>
          <w:bCs/>
          <w:color w:val="8A5A20"/>
          <w:sz w:val="23"/>
          <w:szCs w:val="23"/>
        </w:rPr>
        <w:t xml:space="preserve">7.1  How the client can verify this independently</w:t>
      </w:r>
    </w:p>
    <w:p>
      <w:pPr>
        <w:spacing w:after="120" w:line="288"/>
      </w:pPr>
      <w:r>
        <w:rPr>
          <w:rFonts w:ascii="Calibri" w:cs="Calibri" w:eastAsia="Calibri" w:hAnsi="Calibri"/>
          <w:color w:val="1A1714"/>
          <w:sz w:val="21"/>
          <w:szCs w:val="21"/>
        </w:rPr>
        <w:t xml:space="preserve">The repository contains everything needed. With the container runtime, a recent Python and Node.js installed, the following prepares and starts the product; no API key is required, because a built-in substitute provider runs the whole product offline.</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000"/>
        <w:gridCol w:w="6360"/>
      </w:tblGrid>
      <w:tr>
        <w:trPr>
          <w:tblHeader/>
        </w:trPr>
        <w:tc>
          <w:tcPr>
            <w:tcW w:type="dxa" w:w="300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Command</w:t>
            </w:r>
          </w:p>
        </w:tc>
        <w:tc>
          <w:tcPr>
            <w:tcW w:type="dxa" w:w="6360"/>
            <w:shd w:fill="F3EFE8" w:color="auto" w:val="clear"/>
            <w:tcMar>
              <w:top w:type="dxa" w:w="90"/>
              <w:left w:type="dxa" w:w="120"/>
              <w:bottom w:type="dxa" w:w="90"/>
              <w:right w:type="dxa" w:w="120"/>
            </w:tcMar>
          </w:tcPr>
          <w:p>
            <w:pPr>
              <w:spacing w:after="0" w:line="264"/>
            </w:pPr>
            <w:r>
              <w:rPr>
                <w:rFonts w:ascii="Calibri" w:cs="Calibri" w:eastAsia="Calibri" w:hAnsi="Calibri"/>
                <w:b/>
                <w:bCs/>
                <w:color w:val="1A1714"/>
                <w:sz w:val="19"/>
                <w:szCs w:val="19"/>
              </w:rPr>
              <w:t xml:space="preserve">What it does</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setup</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Creates the environment and installs dependencies</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db</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Starts the database</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migrate</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Creates the schema</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api  ·  ./run worker  ·  ./run web</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Starts the three processes</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seed alex</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Creates a demonstration account with history already in place</w:t>
            </w:r>
          </w:p>
        </w:tc>
      </w:tr>
      <w:tr>
        <w:tc>
          <w:tcPr>
            <w:tcW w:type="dxa" w:w="3000"/>
            <w:tcMar>
              <w:top w:type="dxa" w:w="90"/>
              <w:left w:type="dxa" w:w="120"/>
              <w:bottom w:type="dxa" w:w="90"/>
              <w:right w:type="dxa" w:w="120"/>
            </w:tcMar>
          </w:tcPr>
          <w:p>
            <w:pPr>
              <w:spacing w:after="0" w:line="264"/>
            </w:pPr>
            <w:r>
              <w:rPr>
                <w:rFonts w:ascii="Consolas" w:cs="Consolas" w:eastAsia="Consolas" w:hAnsi="Consolas"/>
                <w:b w:val="false"/>
                <w:bCs w:val="false"/>
                <w:color w:val="5A544C"/>
                <w:sz w:val="18"/>
                <w:szCs w:val="18"/>
              </w:rPr>
              <w:t xml:space="preserve">./run test  ·  ./run lint</w:t>
            </w:r>
          </w:p>
        </w:tc>
        <w:tc>
          <w:tcPr>
            <w:tcW w:type="dxa" w:w="6360"/>
            <w:tcMar>
              <w:top w:type="dxa" w:w="90"/>
              <w:left w:type="dxa" w:w="120"/>
              <w:bottom w:type="dxa" w:w="90"/>
              <w:right w:type="dxa" w:w="120"/>
            </w:tcMar>
          </w:tcPr>
          <w:p>
            <w:pPr>
              <w:spacing w:after="0" w:line="264"/>
            </w:pPr>
            <w:r>
              <w:rPr>
                <w:rFonts w:ascii="Calibri" w:cs="Calibri" w:eastAsia="Calibri" w:hAnsi="Calibri"/>
                <w:b w:val="false"/>
                <w:bCs w:val="false"/>
                <w:color w:val="5A544C"/>
                <w:sz w:val="19"/>
                <w:szCs w:val="19"/>
              </w:rPr>
              <w:t xml:space="preserve">Runs the test suite and the static analysis above</w:t>
            </w:r>
          </w:p>
        </w:tc>
      </w:tr>
    </w:tbl>
    <w:p>
      <w:pPr>
        <w:spacing w:after="0"/>
      </w:pPr>
      <w:r>
        <w:t xml:space="preserve"/>
      </w:r>
    </w:p>
    <w:p>
      <w:pPr>
        <w:spacing w:after="120" w:line="288"/>
      </w:pPr>
      <w:r>
        <w:rPr>
          <w:rFonts w:ascii="Calibri" w:cs="Calibri" w:eastAsia="Calibri" w:hAnsi="Calibri"/>
          <w:color w:val="1A1714"/>
          <w:sz w:val="21"/>
          <w:szCs w:val="21"/>
        </w:rPr>
        <w:t xml:space="preserve">The application is then available at </w:t>
      </w:r>
      <w:r>
        <w:rPr>
          <w:rFonts w:ascii="Consolas" w:cs="Consolas" w:eastAsia="Consolas" w:hAnsi="Consolas"/>
          <w:color w:val="8A5A20"/>
          <w:sz w:val="19"/>
          <w:szCs w:val="19"/>
        </w:rPr>
        <w:t xml:space="preserve">http://localhost:3000</w:t>
      </w:r>
      <w:r>
        <w:rPr>
          <w:rFonts w:ascii="Calibri" w:cs="Calibri" w:eastAsia="Calibri" w:hAnsi="Calibri"/>
          <w:color w:val="1A1714"/>
          <w:sz w:val="21"/>
          <w:szCs w:val="21"/>
        </w:rPr>
        <w:t xml:space="preserve"> and the interface documentation at </w:t>
      </w:r>
      <w:r>
        <w:rPr>
          <w:rFonts w:ascii="Consolas" w:cs="Consolas" w:eastAsia="Consolas" w:hAnsi="Consolas"/>
          <w:color w:val="8A5A20"/>
          <w:sz w:val="19"/>
          <w:szCs w:val="19"/>
        </w:rPr>
        <w:t xml:space="preserve">http://localhost:8000/docs</w:t>
      </w:r>
      <w:r>
        <w:rPr>
          <w:rFonts w:ascii="Calibri" w:cs="Calibri" w:eastAsia="Calibri" w:hAnsi="Calibri"/>
          <w:color w:val="1A1714"/>
          <w:sz w:val="21"/>
          <w:szCs w:val="21"/>
        </w:rPr>
        <w:t xml:space="preserve">.</w:t>
      </w:r>
    </w:p>
    <w:p>
      <w:pPr>
        <w:pStyle w:val="Heading1"/>
        <w:spacing w:after="160" w:before="360"/>
      </w:pPr>
      <w:r>
        <w:rPr>
          <w:rFonts w:ascii="Georgia" w:cs="Georgia" w:eastAsia="Georgia" w:hAnsi="Georgia"/>
          <w:b/>
          <w:bCs/>
          <w:color w:val="1A1714"/>
          <w:sz w:val="30"/>
          <w:szCs w:val="30"/>
        </w:rPr>
        <w:t xml:space="preserve">8.  Scope notes</w:t>
      </w:r>
    </w:p>
    <w:p>
      <w:pPr>
        <w:spacing w:after="120" w:line="288"/>
      </w:pPr>
      <w:r>
        <w:rPr>
          <w:rFonts w:ascii="Calibri" w:cs="Calibri" w:eastAsia="Calibri" w:hAnsi="Calibri"/>
          <w:color w:val="1A1714"/>
          <w:sz w:val="21"/>
          <w:szCs w:val="21"/>
        </w:rPr>
        <w:t xml:space="preserve">Recorded here so that expectations and the contract remain aligned.</w:t>
      </w:r>
    </w:p>
    <w:p>
      <w:pPr>
        <w:pStyle w:val="ListParagraph"/>
        <w:numPr>
          <w:ilvl w:val="0"/>
          <w:numId w:val="2"/>
        </w:numPr>
        <w:spacing w:after="70" w:line="276"/>
      </w:pPr>
      <w:r>
        <w:rPr>
          <w:rFonts w:ascii="Calibri" w:cs="Calibri" w:eastAsia="Calibri" w:hAnsi="Calibri"/>
          <w:b/>
          <w:bCs/>
          <w:color w:val="1A1714"/>
          <w:sz w:val="21"/>
          <w:szCs w:val="21"/>
        </w:rPr>
        <w:t xml:space="preserve">Mobile means responsive web in Phase 1.</w:t>
      </w:r>
      <w:r>
        <w:rPr>
          <w:rFonts w:ascii="Calibri" w:cs="Calibri" w:eastAsia="Calibri" w:hAnsi="Calibri"/>
          <w:color w:val="1A1714"/>
          <w:sz w:val="21"/>
          <w:szCs w:val="21"/>
        </w:rPr>
        <w:t xml:space="preserve"> A native application is not included and is a change request.</w:t>
      </w:r>
    </w:p>
    <w:p>
      <w:pPr>
        <w:pStyle w:val="ListParagraph"/>
        <w:numPr>
          <w:ilvl w:val="0"/>
          <w:numId w:val="2"/>
        </w:numPr>
        <w:spacing w:after="70" w:line="276"/>
      </w:pPr>
      <w:r>
        <w:rPr>
          <w:rFonts w:ascii="Calibri" w:cs="Calibri" w:eastAsia="Calibri" w:hAnsi="Calibri"/>
          <w:b/>
          <w:bCs/>
          <w:color w:val="1A1714"/>
          <w:sz w:val="21"/>
          <w:szCs w:val="21"/>
        </w:rPr>
        <w:t xml:space="preserve">Payment collection is not built into the product.</w:t>
      </w:r>
      <w:r>
        <w:rPr>
          <w:rFonts w:ascii="Calibri" w:cs="Calibri" w:eastAsia="Calibri" w:hAnsi="Calibri"/>
          <w:color w:val="1A1714"/>
          <w:sz w:val="21"/>
          <w:szCs w:val="21"/>
        </w:rPr>
        <w:t xml:space="preserve"> Sign-up is invite-controlled, and the commercial arrangement is handled outside the application unless the client directs otherwise.</w:t>
      </w:r>
    </w:p>
    <w:p>
      <w:pPr>
        <w:pStyle w:val="ListParagraph"/>
        <w:numPr>
          <w:ilvl w:val="0"/>
          <w:numId w:val="2"/>
        </w:numPr>
        <w:spacing w:after="70" w:line="276"/>
      </w:pPr>
      <w:r>
        <w:rPr>
          <w:rFonts w:ascii="Calibri" w:cs="Calibri" w:eastAsia="Calibri" w:hAnsi="Calibri"/>
          <w:b/>
          <w:bCs/>
          <w:color w:val="1A1714"/>
          <w:sz w:val="21"/>
          <w:szCs w:val="21"/>
        </w:rPr>
        <w:t xml:space="preserve">The legal texts are placeholders.</w:t>
      </w:r>
      <w:r>
        <w:rPr>
          <w:rFonts w:ascii="Calibri" w:cs="Calibri" w:eastAsia="Calibri" w:hAnsi="Calibri"/>
          <w:color w:val="1A1714"/>
          <w:sz w:val="21"/>
          <w:szCs w:val="21"/>
        </w:rPr>
        <w:t xml:space="preserve"> The consent mechanism, the version recording and the acceptance trail are complete; the terms and privacy wording are the client's to supply, and the recorded version identifier changes with them.</w:t>
      </w:r>
    </w:p>
    <w:p>
      <w:pPr>
        <w:pStyle w:val="ListParagraph"/>
        <w:numPr>
          <w:ilvl w:val="0"/>
          <w:numId w:val="2"/>
        </w:numPr>
        <w:spacing w:after="70" w:line="276"/>
      </w:pPr>
      <w:r>
        <w:rPr>
          <w:rFonts w:ascii="Calibri" w:cs="Calibri" w:eastAsia="Calibri" w:hAnsi="Calibri"/>
          <w:b/>
          <w:bCs/>
          <w:color w:val="1A1714"/>
          <w:sz w:val="21"/>
          <w:szCs w:val="21"/>
        </w:rPr>
        <w:t xml:space="preserve">The language-model provider is configurable.</w:t>
      </w:r>
      <w:r>
        <w:rPr>
          <w:rFonts w:ascii="Calibri" w:cs="Calibri" w:eastAsia="Calibri" w:hAnsi="Calibri"/>
          <w:color w:val="1A1714"/>
          <w:sz w:val="21"/>
          <w:szCs w:val="21"/>
        </w:rPr>
        <w:t xml:space="preserve"> The product is built against Claude for conversation and reasoning, with an alternative provider selectable per task through configuration and without code changes. Until an API key is supplied, the product runs on its built-in substitute provider.</w:t>
      </w:r>
    </w:p>
    <w:p>
      <w:pPr>
        <w:pStyle w:val="ListParagraph"/>
        <w:numPr>
          <w:ilvl w:val="0"/>
          <w:numId w:val="2"/>
        </w:numPr>
        <w:spacing w:after="70" w:line="276"/>
      </w:pPr>
      <w:r>
        <w:rPr>
          <w:rFonts w:ascii="Calibri" w:cs="Calibri" w:eastAsia="Calibri" w:hAnsi="Calibri"/>
          <w:b/>
          <w:bCs/>
          <w:color w:val="1A1714"/>
          <w:sz w:val="21"/>
          <w:szCs w:val="21"/>
        </w:rPr>
        <w:t xml:space="preserve">Production deployment is prepared, not yet performed.</w:t>
      </w:r>
      <w:r>
        <w:rPr>
          <w:rFonts w:ascii="Calibri" w:cs="Calibri" w:eastAsia="Calibri" w:hAnsi="Calibri"/>
          <w:color w:val="1A1714"/>
          <w:sz w:val="21"/>
          <w:szCs w:val="21"/>
        </w:rPr>
        <w:t xml:space="preserve"> See the status note in section 5.2.</w:t>
      </w:r>
    </w:p>
    <w:p>
      <w:pPr>
        <w:pStyle w:val="Heading1"/>
        <w:spacing w:after="160" w:before="360"/>
      </w:pPr>
      <w:r>
        <w:rPr>
          <w:rFonts w:ascii="Georgia" w:cs="Georgia" w:eastAsia="Georgia" w:hAnsi="Georgia"/>
          <w:b/>
          <w:bCs/>
          <w:color w:val="1A1714"/>
          <w:sz w:val="30"/>
          <w:szCs w:val="30"/>
        </w:rPr>
        <w:t xml:space="preserve">9.  Related documents</w:t>
      </w:r>
    </w:p>
    <w:p>
      <w:pPr>
        <w:spacing w:after="120" w:line="288"/>
      </w:pPr>
      <w:r>
        <w:rPr>
          <w:rFonts w:ascii="Calibri" w:cs="Calibri" w:eastAsia="Calibri" w:hAnsi="Calibri"/>
          <w:color w:val="1A1714"/>
          <w:sz w:val="21"/>
          <w:szCs w:val="21"/>
        </w:rPr>
        <w:t xml:space="preserve">This report is one part of the Phase 1 delivery. The repository also contains the architecture overview, the Recognition engine specification, the interface reference, the testing report, the operations runbook, the deployment guide, the third-party dependency register, the acceptance checklist and the handover pack.</w:t>
      </w:r>
    </w:p>
    <w:p>
      <w:pPr>
        <w:spacing w:after="0"/>
      </w:pPr>
      <w:r>
        <w:t xml:space="preserve"/>
      </w:r>
    </w:p>
    <w:p>
      <w:pPr>
        <w:pBdr>
          <w:bottom w:val="single" w:color="D8D2C8" w:sz="6" w:space="1"/>
        </w:pBdr>
        <w:spacing w:after="160" w:before="60"/>
      </w:pPr>
      <w:r>
        <w:t xml:space="preserve"/>
      </w:r>
    </w:p>
    <w:p>
      <w:pPr>
        <w:spacing w:after="120" w:line="288"/>
      </w:pPr>
      <w:r>
        <w:rPr>
          <w:rFonts w:ascii="Calibri" w:cs="Calibri" w:eastAsia="Calibri" w:hAnsi="Calibri"/>
          <w:color w:val="5A544C"/>
          <w:sz w:val="18"/>
          <w:szCs w:val="18"/>
        </w:rPr>
        <w:t xml:space="preserve">Prepared by Noventrix Solutions for Sway / KnoRI.  Confidential.</w:t>
      </w:r>
    </w:p>
    <w:sectPr>
      <w:footerReference w:type="default" r:id="rId6"/>
      <w:pgSz w:w="11906" w:h="16838"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44C"/>
        <w:sz w:val="16"/>
        <w:szCs w:val="16"/>
      </w:rPr>
      <w:t xml:space="preserve">KnoRI · Phase 1 · Product Foundation — page </w:t>
    </w:r>
    <w:r>
      <w:rPr>
        <w:rFonts w:ascii="Calibri" w:cs="Calibri" w:eastAsia="Calibri" w:hAnsi="Calibri"/>
        <w:color w:val="5A544C"/>
        <w:sz w:val="16"/>
        <w:szCs w:val="16"/>
      </w:rPr>
      <w:fldChar w:fldCharType="begin"/>
      <w:instrText xml:space="preserve">PAGE</w:instrText>
      <w:fldChar w:fldCharType="separate"/>
      <w:fldChar w:fldCharType="end"/>
    </w:r>
    <w:r>
      <w:rPr>
        <w:rFonts w:ascii="Calibri" w:cs="Calibri" w:eastAsia="Calibri" w:hAnsi="Calibri"/>
        <w:color w:val="5A544C"/>
        <w:sz w:val="16"/>
        <w:szCs w:val="16"/>
      </w:rPr>
      <w:t xml:space="preserve"> of </w:t>
    </w:r>
    <w:r>
      <w:rPr>
        <w:rFonts w:ascii="Calibri" w:cs="Calibri" w:eastAsia="Calibri" w:hAnsi="Calibri"/>
        <w:color w:val="5A544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88"/>
      </w:pPr>
    </w:lvl>
    <w:lvl w:ilvl="1" w: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KnoRI Phase 1 — Product Foundation</dc:title>
  <dc:creator>Noventrix Solutions</dc:creator>
  <dc:description>Implementation report for Workstream 1 of Phase 1</dc:description>
  <cp:lastModifiedBy>Un-named</cp:lastModifiedBy>
  <cp:revision>1</cp:revision>
  <dcterms:created xsi:type="dcterms:W3CDTF">2026-10-05T19:00:11.173Z</dcterms:created>
  <dcterms:modified xsi:type="dcterms:W3CDTF">2026-10-05T19:00:11.173Z</dcterms:modified>
</cp:coreProperties>
</file>

<file path=docProps/custom.xml><?xml version="1.0" encoding="utf-8"?>
<Properties xmlns="http://schemas.openxmlformats.org/officeDocument/2006/custom-properties" xmlns:vt="http://schemas.openxmlformats.org/officeDocument/2006/docPropsVTypes"/>
</file>