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40"/>
        <w:jc w:val="center"/>
      </w:pPr>
      <w:r>
        <w:rPr>
          <w:rFonts w:ascii="Calibri" w:hAnsi="Calibri"/>
          <w:b/>
          <w:color w:val="2E74B5"/>
          <w:sz w:val="26"/>
        </w:rPr>
        <w:t>KAZI FARMS GROUP</w:t>
      </w:r>
      <w:r>
        <w:rPr>
          <w:rFonts w:ascii="Calibri" w:hAnsi="Calibri"/>
          <w:color w:val="606A76"/>
          <w:sz w:val="19"/>
        </w:rPr>
        <w:br/>
        <w:t>SUPPLIER PORTAL</w:t>
      </w:r>
    </w:p>
    <w:p>
      <w:pPr>
        <w:spacing w:before="520" w:after="120"/>
        <w:jc w:val="center"/>
      </w:pPr>
      <w:r>
        <w:rPr>
          <w:rFonts w:ascii="Calibri" w:hAnsi="Calibri"/>
          <w:b/>
          <w:color w:val="1F4E79"/>
          <w:sz w:val="60"/>
        </w:rPr>
        <w:t>Frontend API Contract</w:t>
      </w:r>
    </w:p>
    <w:p>
      <w:pPr>
        <w:spacing w:after="600"/>
        <w:jc w:val="center"/>
      </w:pPr>
      <w:r>
        <w:rPr>
          <w:rFonts w:ascii="Calibri" w:hAnsi="Calibri"/>
          <w:i/>
          <w:color w:val="606A76"/>
          <w:sz w:val="23"/>
        </w:rPr>
        <w:t>Endpoint and field specification for the iDempiere backend team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  <w:insideH w:val="single" w:sz="4" w:space="0" w:color="E3E8ED"/>
        </w:tblBorders>
      </w:tblPr>
      <w:tblGrid>
        <w:gridCol w:w="4802"/>
        <w:gridCol w:w="4802"/>
      </w:tblGrid>
      <w:tr>
        <w:tc>
          <w:tcPr>
            <w:tcW w:type="dxa" w:w="2232"/>
            <w:tcMar>
              <w:top w:w="90" w:type="dxa"/>
              <w:left w:w="60" w:type="dxa"/>
              <w:bottom w:w="90" w:type="dxa"/>
              <w:right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606A76"/>
                <w:sz w:val="16"/>
              </w:rPr>
              <w:t>DOCUMENT</w:t>
            </w:r>
          </w:p>
        </w:tc>
        <w:tc>
          <w:tcPr>
            <w:tcW w:type="dxa" w:w="6264"/>
            <w:tcMar>
              <w:top w:w="90" w:type="dxa"/>
              <w:left w:w="120" w:type="dxa"/>
              <w:bottom w:w="9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Frontend API Contract — Kazi Farms Supplier Portal</w:t>
            </w:r>
          </w:p>
        </w:tc>
      </w:tr>
      <w:tr>
        <w:tc>
          <w:tcPr>
            <w:tcW w:type="dxa" w:w="2232"/>
            <w:tcMar>
              <w:top w:w="90" w:type="dxa"/>
              <w:left w:w="60" w:type="dxa"/>
              <w:bottom w:w="90" w:type="dxa"/>
              <w:right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606A76"/>
                <w:sz w:val="16"/>
              </w:rPr>
              <w:t>AUDIENCE</w:t>
            </w:r>
          </w:p>
        </w:tc>
        <w:tc>
          <w:tcPr>
            <w:tcW w:type="dxa" w:w="6264"/>
            <w:tcMar>
              <w:top w:w="90" w:type="dxa"/>
              <w:left w:w="120" w:type="dxa"/>
              <w:bottom w:w="9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iDempiere backend team</w:t>
            </w:r>
          </w:p>
        </w:tc>
      </w:tr>
      <w:tr>
        <w:tc>
          <w:tcPr>
            <w:tcW w:type="dxa" w:w="2232"/>
            <w:tcMar>
              <w:top w:w="90" w:type="dxa"/>
              <w:left w:w="60" w:type="dxa"/>
              <w:bottom w:w="90" w:type="dxa"/>
              <w:right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606A76"/>
                <w:sz w:val="16"/>
              </w:rPr>
              <w:t>PREPARED BY</w:t>
            </w:r>
          </w:p>
        </w:tc>
        <w:tc>
          <w:tcPr>
            <w:tcW w:type="dxa" w:w="6264"/>
            <w:tcMar>
              <w:top w:w="90" w:type="dxa"/>
              <w:left w:w="120" w:type="dxa"/>
              <w:bottom w:w="9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E79"/>
                <w:sz w:val="22"/>
              </w:rPr>
              <w:t>Md. Shahriar Karim Shawon</w:t>
            </w:r>
          </w:p>
        </w:tc>
      </w:tr>
      <w:tr>
        <w:tc>
          <w:tcPr>
            <w:tcW w:type="dxa" w:w="2232"/>
            <w:tcMar>
              <w:top w:w="90" w:type="dxa"/>
              <w:left w:w="60" w:type="dxa"/>
              <w:bottom w:w="90" w:type="dxa"/>
              <w:right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606A76"/>
                <w:sz w:val="16"/>
              </w:rPr>
              <w:t>STATUS</w:t>
            </w:r>
          </w:p>
        </w:tc>
        <w:tc>
          <w:tcPr>
            <w:tcW w:type="dxa" w:w="6264"/>
            <w:tcMar>
              <w:top w:w="90" w:type="dxa"/>
              <w:left w:w="120" w:type="dxa"/>
              <w:bottom w:w="9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Frontend requirements specification — not yet an agreed contract</w:t>
            </w:r>
          </w:p>
        </w:tc>
      </w:tr>
      <w:tr>
        <w:tc>
          <w:tcPr>
            <w:tcW w:type="dxa" w:w="2232"/>
            <w:tcMar>
              <w:top w:w="90" w:type="dxa"/>
              <w:left w:w="60" w:type="dxa"/>
              <w:bottom w:w="90" w:type="dxa"/>
              <w:right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606A76"/>
                <w:sz w:val="16"/>
              </w:rPr>
              <w:t>DATE</w:t>
            </w:r>
          </w:p>
        </w:tc>
        <w:tc>
          <w:tcPr>
            <w:tcW w:type="dxa" w:w="6264"/>
            <w:tcMar>
              <w:top w:w="90" w:type="dxa"/>
              <w:left w:w="120" w:type="dxa"/>
              <w:bottom w:w="9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20 August 2026</w:t>
            </w:r>
          </w:p>
        </w:tc>
      </w:tr>
      <w:tr>
        <w:tc>
          <w:tcPr>
            <w:tcW w:type="dxa" w:w="2232"/>
            <w:tcMar>
              <w:top w:w="90" w:type="dxa"/>
              <w:left w:w="60" w:type="dxa"/>
              <w:bottom w:w="90" w:type="dxa"/>
              <w:right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606A76"/>
                <w:sz w:val="16"/>
              </w:rPr>
              <w:t>LIVE DEMO</w:t>
            </w:r>
          </w:p>
        </w:tc>
        <w:tc>
          <w:tcPr>
            <w:tcW w:type="dxa" w:w="6264"/>
            <w:tcMar>
              <w:top w:w="90" w:type="dxa"/>
              <w:left w:w="120" w:type="dxa"/>
              <w:bottom w:w="90" w:type="dxa"/>
              <w:right w:w="60" w:type="dxa"/>
            </w:tcMar>
          </w:tcPr>
          <w:p>
            <w:pPr>
              <w:spacing w:after="0"/>
            </w:pPr>
            <w:hyperlink r:id="rId10">
              <w:r>
                <w:rPr>
                  <w:rFonts w:ascii="Calibri" w:hAnsi="Calibri" w:cs="Calibri"/>
                  <w:color w:val="0B5CAB"/>
                  <w:u w:val="single"/>
                </w:rPr>
                <w:t xml:space="preserve">https://kfg-supplier-portal.vercel.app/</w:t>
              </w:r>
            </w:hyperlink>
          </w:p>
        </w:tc>
      </w:tr>
    </w:tbl>
    <w:p/>
    <w:p>
      <w:r>
        <w:br w:type="page"/>
      </w:r>
    </w:p>
    <w:p>
      <w:pPr>
        <w:spacing w:after="200"/>
        <w:pBdr>
          <w:bottom w:val="single" w:sz="6" w:space="6" w:color="2E74B5"/>
        </w:pBdr>
      </w:pPr>
      <w:r>
        <w:rPr>
          <w:rFonts w:ascii="Calibri" w:hAnsi="Calibri"/>
          <w:b/>
          <w:color w:val="1F4E79"/>
          <w:sz w:val="34"/>
        </w:rPr>
        <w:t>Contents</w:t>
      </w:r>
    </w:p>
    <w:p>
      <w:r>
        <w:fldChar w:fldCharType="begin" w:dirty="true"/>
      </w:r>
      <w:r>
        <w:instrText xml:space="preserve">TOC \o "1-3" \h \z \u</w:instrText>
      </w:r>
      <w:r>
        <w:fldChar w:fldCharType="separate"/>
      </w:r>
      <w:r>
        <w:rPr>
          <w:rFonts w:ascii="Calibri" w:hAnsi="Calibri"/>
          <w:i/>
          <w:color w:val="606A76"/>
          <w:sz w:val="20"/>
        </w:rPr>
        <w:t>Right-click and choose “Update Field” to build the table of contents.</w:t>
      </w:r>
      <w:r>
        <w:fldChar w:fldCharType="end"/>
      </w:r>
    </w:p>
    <w:p>
      <w:r>
        <w:br w:type="page"/>
      </w:r>
    </w:p>
    <w:p>
      <w:r>
        <w:rPr>
          <w:rFonts w:ascii="Calibri" w:hAnsi="Calibri"/>
          <w:b/>
        </w:rPr>
        <w:t>Purpose:</w:t>
      </w:r>
      <w:r>
        <w:rPr>
          <w:rFonts w:ascii="Calibri" w:hAnsi="Calibri"/>
        </w:rPr>
        <w:t xml:space="preserve"> For every screen in the supplier portal, this document lists the API endpoints that screen calls, and the exact JSON fields the frontend expects back (or sends up).</w:t>
      </w:r>
    </w:p>
    <w:p>
      <w:r>
        <w:rPr>
          <w:rFonts w:ascii="Calibri" w:hAnsi="Calibri"/>
        </w:rPr>
        <w:t>The frontend is already built and running against a mock data layer (</w:t>
      </w:r>
      <w:r>
        <w:rPr>
          <w:rFonts w:ascii="Consolas" w:hAnsi="Consolas" w:cs="Consolas"/>
          <w:color w:val="A82C4A"/>
          <w:sz w:val="18"/>
        </w:rPr>
        <w:t>src/lib/mock/api.ts</w:t>
      </w:r>
      <w:r>
        <w:rPr>
          <w:rFonts w:ascii="Calibri" w:hAnsi="Calibri"/>
        </w:rPr>
        <w:t xml:space="preserve"> + </w:t>
      </w:r>
      <w:r>
        <w:rPr>
          <w:rFonts w:ascii="Consolas" w:hAnsi="Consolas" w:cs="Consolas"/>
          <w:color w:val="A82C4A"/>
          <w:sz w:val="18"/>
        </w:rPr>
        <w:t>src/lib/mock/types.ts</w:t>
      </w:r>
      <w:r>
        <w:rPr>
          <w:rFonts w:ascii="Calibri" w:hAnsi="Calibri"/>
        </w:rPr>
        <w:t>). Every field listed here is a field the UI actually renders today — nothing is speculative. If a field is not in this doc, the frontend does not use it and you do not need to expose it.</w:t>
      </w:r>
    </w:p>
    <w:p>
      <w:r>
        <w:rPr>
          <w:rFonts w:ascii="Calibri" w:hAnsi="Calibri"/>
          <w:b/>
        </w:rPr>
        <w:t>Status of this document:</w:t>
      </w:r>
      <w:r>
        <w:rPr>
          <w:rFonts w:ascii="Calibri" w:hAnsi="Calibri"/>
        </w:rPr>
        <w:t xml:space="preserve"> it is a </w:t>
      </w:r>
      <w:r>
        <w:rPr>
          <w:rFonts w:ascii="Calibri" w:hAnsi="Calibri"/>
          <w:i/>
        </w:rPr>
        <w:t>frontend requirements</w:t>
      </w:r>
      <w:r>
        <w:rPr>
          <w:rFonts w:ascii="Calibri" w:hAnsi="Calibri"/>
        </w:rPr>
        <w:t xml:space="preserve"> spec, not an agreed contract. The endpoint paths are proposals — rename them freely. The </w:t>
      </w:r>
      <w:r>
        <w:rPr>
          <w:rFonts w:ascii="Calibri" w:hAnsi="Calibri"/>
          <w:b/>
        </w:rPr>
        <w:t>field names and value shapes are what matter</w:t>
      </w:r>
      <w:r>
        <w:rPr>
          <w:rFonts w:ascii="Calibri" w:hAnsi="Calibri"/>
        </w:rPr>
        <w:t>, because they are hard-wired into the React components. If you must rename a field, tell us and we will map it.</w:t>
      </w:r>
    </w:p>
    <w:p>
      <w:pPr>
        <w:spacing w:before="80" w:after="200"/>
        <w:pBdr>
          <w:bottom w:val="single" w:sz="6" w:space="1" w:color="DCE3EA"/>
        </w:pBdr>
      </w:pPr>
    </w:p>
    <w:p>
      <w:pPr>
        <w:pStyle w:val="Heading2"/>
        <w:pBdr>
          <w:bottom w:val="single" w:sz="6" w:space="5" w:color="C9D6E4"/>
        </w:pBdr>
      </w:pPr>
      <w:r>
        <w:rPr>
          <w:rFonts w:ascii="Calibri" w:hAnsi="Calibri"/>
          <w:b/>
          <w:color w:val="1F4E79"/>
          <w:sz w:val="31"/>
        </w:rPr>
        <w:t>0. Live demo — open the screen while you read the spec</w:t>
      </w:r>
    </w:p>
    <w:p>
      <w:pPr>
        <w:pStyle w:val="Heading3"/>
        <w:ind w:left="173"/>
      </w:pPr>
      <w:r>
        <w:rPr>
          <w:rFonts w:ascii="Calibri" w:hAnsi="Calibri"/>
          <w:b/>
          <w:color w:val="2E74B5"/>
          <w:sz w:val="25"/>
        </w:rPr>
        <w:t xml:space="preserve">🔗 </w:t>
      </w:r>
      <w:r>
        <w:rPr>
          <w:rFonts w:ascii="Calibri" w:hAnsi="Calibri"/>
          <w:b/>
          <w:color w:val="2E74B5"/>
          <w:sz w:val="25"/>
        </w:rPr>
        <w:t>https://kfg-supplier-portal.vercel.app/</w:t>
      </w:r>
    </w:p>
    <w:p>
      <w:r>
        <w:rPr>
          <w:rFonts w:ascii="Calibri" w:hAnsi="Calibri"/>
        </w:rPr>
        <w:t xml:space="preserve">Every section in §4 has a </w:t>
      </w:r>
      <w:r>
        <w:rPr>
          <w:rFonts w:ascii="Calibri" w:hAnsi="Calibri"/>
          <w:b/>
        </w:rPr>
        <w:t>Open screen</w:t>
      </w:r>
      <w:r>
        <w:rPr>
          <w:rFonts w:ascii="Calibri" w:hAnsi="Calibri"/>
        </w:rPr>
        <w:t xml:space="preserve"> link. Click it to see exactly what the JSON on that page renders into. The fastest way to understand a field is to find it on screen.</w:t>
      </w:r>
    </w:p>
    <w:p>
      <w:r>
        <w:rPr>
          <w:rFonts w:ascii="Calibri" w:hAnsi="Calibri"/>
          <w:b/>
        </w:rPr>
        <w:t>Sign in</w:t>
      </w:r>
      <w:r>
        <w:rPr>
          <w:rFonts w:ascii="Calibri" w:hAnsi="Calibri"/>
        </w:rPr>
        <w:t xml:space="preserve"> (credentials are pre-filled on the login form — just click through):</w:t>
      </w:r>
    </w:p>
    <w:tbl>
      <w:tblPr>
        <w:tblStyle w:val="TableGrid"/>
        <w:tblW w:type="dxa" w:w="9604"/>
        <w:tblLayout w:type="fixed"/>
        <w:tblLook w:firstColumn="1" w:firstRow="1" w:lastColumn="0" w:lastRow="0" w:noHBand="0" w:noVBand="1" w:val="04A0"/>
        <w:tblBorders>
          <w:top w:val="single" w:sz="4" w:space="0" w:color="C6CED6"/>
          <w:left w:val="single" w:sz="4" w:space="0" w:color="C6CED6"/>
          <w:bottom w:val="single" w:sz="4" w:space="0" w:color="C6CED6"/>
          <w:right w:val="single" w:sz="4" w:space="0" w:color="C6CED6"/>
          <w:insideH w:val="single" w:sz="4" w:space="0" w:color="C6CED6"/>
          <w:insideV w:val="single" w:sz="4" w:space="0" w:color="C6CED6"/>
        </w:tblBorders>
        <w:tblLayout w:type="fixed"/>
      </w:tblPr>
      <w:tblGrid>
        <w:gridCol w:w="2598"/>
        <w:gridCol w:w="7006"/>
      </w:tblGrid>
      <w:tr>
        <w:trPr>
          <w:cantSplit w:val="true"/>
        </w:trPr>
        <w:tc>
          <w:tcPr>
            <w:tcW w:type="dxa" w:w="259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Email</w:t>
            </w:r>
          </w:p>
        </w:tc>
        <w:tc>
          <w:tcPr>
            <w:tcW w:type="dxa" w:w="700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7"/>
              </w:rPr>
              <w:t>ahsan.kabir@dhakapackaging.com.bd</w:t>
            </w:r>
          </w:p>
        </w:tc>
      </w:tr>
      <w:tr>
        <w:trPr>
          <w:cantSplit w:val="true"/>
        </w:trPr>
        <w:tc>
          <w:tcPr>
            <w:tcW w:type="dxa" w:w="2598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Password</w:t>
            </w:r>
          </w:p>
        </w:tc>
        <w:tc>
          <w:tcPr>
            <w:tcW w:type="dxa" w:w="7006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7"/>
              </w:rPr>
              <w:t>Demo@2026!</w:t>
            </w:r>
          </w:p>
        </w:tc>
      </w:tr>
      <w:tr>
        <w:trPr>
          <w:cantSplit w:val="true"/>
        </w:trPr>
        <w:tc>
          <w:tcPr>
            <w:tcW w:type="dxa" w:w="259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OTP code</w:t>
            </w:r>
          </w:p>
        </w:tc>
        <w:tc>
          <w:tcPr>
            <w:tcW w:type="dxa" w:w="700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7"/>
              </w:rPr>
              <w:t>135790</w:t>
            </w:r>
          </w:p>
        </w:tc>
      </w:tr>
    </w:tbl>
    <w:p>
      <w:pPr>
        <w:spacing w:after="80" w:before="0"/>
      </w:pPr>
    </w:p>
    <w:p>
      <w:r>
        <w:rPr>
          <w:rFonts w:ascii="Calibri" w:hAnsi="Calibri"/>
          <w:b/>
        </w:rPr>
        <w:t>Important:</w:t>
      </w:r>
      <w:r>
        <w:rPr>
          <w:rFonts w:ascii="Calibri" w:hAnsi="Calibri"/>
        </w:rPr>
        <w:t xml:space="preserve"> this deployment runs entirely on </w:t>
      </w:r>
      <w:r>
        <w:rPr>
          <w:rFonts w:ascii="Calibri" w:hAnsi="Calibri"/>
          <w:b/>
        </w:rPr>
        <w:t>mock data generated in the browser</w:t>
      </w:r>
      <w:r>
        <w:rPr>
          <w:rFonts w:ascii="Calibri" w:hAnsi="Calibri"/>
        </w:rPr>
        <w:t xml:space="preserve"> (</w:t>
      </w:r>
      <w:r>
        <w:rPr>
          <w:rFonts w:ascii="Consolas" w:hAnsi="Consolas" w:cs="Consolas"/>
          <w:color w:val="A82C4A"/>
          <w:sz w:val="18"/>
        </w:rPr>
        <w:t>src/lib/mock/db.ts</w:t>
      </w:r>
      <w:r>
        <w:rPr>
          <w:rFonts w:ascii="Calibri" w:hAnsi="Calibri"/>
        </w:rPr>
        <w:t>). There is no backend behind it — that is what you are building. Consequences:</w:t>
      </w:r>
    </w:p>
    <w:p>
      <w:pPr>
        <w:spacing w:after="60"/>
        <w:ind w:left="605" w:hanging="317"/>
        <w:tabs>
          <w:tab w:val="left" w:pos="604"/>
        </w:tabs>
      </w:pPr>
      <w:r>
        <w:rPr>
          <w:rFonts w:ascii="Calibri" w:hAnsi="Calibri"/>
          <w:b w:val="0"/>
        </w:rPr>
        <w:t>•</w:t>
        <w:tab/>
      </w:r>
      <w:r>
        <w:rPr>
          <w:rFonts w:ascii="Calibri" w:hAnsi="Calibri"/>
        </w:rPr>
        <w:t>Nothing persists. Submit a bill, refresh, and it is gone.</w:t>
      </w:r>
    </w:p>
    <w:p>
      <w:pPr>
        <w:spacing w:after="60"/>
        <w:ind w:left="605" w:hanging="317"/>
        <w:tabs>
          <w:tab w:val="left" w:pos="604"/>
        </w:tabs>
      </w:pPr>
      <w:r>
        <w:rPr>
          <w:rFonts w:ascii="Calibri" w:hAnsi="Calibri"/>
          <w:b w:val="0"/>
        </w:rPr>
        <w:t>•</w:t>
        <w:tab/>
      </w:r>
      <w:r>
        <w:rPr>
          <w:rFonts w:ascii="Calibri" w:hAnsi="Calibri"/>
        </w:rPr>
        <w:t>Record IDs in the URLs (</w:t>
      </w:r>
      <w:r>
        <w:rPr>
          <w:rFonts w:ascii="Consolas" w:hAnsi="Consolas" w:cs="Consolas"/>
          <w:color w:val="A82C4A"/>
          <w:sz w:val="18"/>
        </w:rPr>
        <w:t>po-008</w:t>
      </w:r>
      <w:r>
        <w:rPr>
          <w:rFonts w:ascii="Calibri" w:hAnsi="Calibri"/>
        </w:rPr>
        <w:t xml:space="preserve">, </w:t>
      </w:r>
      <w:r>
        <w:rPr>
          <w:rFonts w:ascii="Consolas" w:hAnsi="Consolas" w:cs="Consolas"/>
          <w:color w:val="A82C4A"/>
          <w:sz w:val="18"/>
        </w:rPr>
        <w:t>tnd-001</w:t>
      </w:r>
      <w:r>
        <w:rPr>
          <w:rFonts w:ascii="Calibri" w:hAnsi="Calibri"/>
        </w:rPr>
        <w:t>) are mock IDs. Yours will be iDempiere IDs.</w:t>
      </w:r>
    </w:p>
    <w:p>
      <w:pPr>
        <w:spacing w:after="60"/>
        <w:ind w:left="605" w:hanging="317"/>
        <w:tabs>
          <w:tab w:val="left" w:pos="604"/>
        </w:tabs>
      </w:pPr>
      <w:r>
        <w:rPr>
          <w:rFonts w:ascii="Calibri" w:hAnsi="Calibri"/>
          <w:b w:val="0"/>
        </w:rPr>
        <w:t>•</w:t>
        <w:tab/>
      </w:r>
      <w:r>
        <w:rPr>
          <w:rFonts w:ascii="Calibri" w:hAnsi="Calibri"/>
        </w:rPr>
        <w:t xml:space="preserve">The ~600 ms delay before data appears is a deliberate </w:t>
      </w:r>
      <w:r>
        <w:rPr>
          <w:rFonts w:ascii="Consolas" w:hAnsi="Consolas" w:cs="Consolas"/>
          <w:color w:val="A82C4A"/>
          <w:sz w:val="18"/>
        </w:rPr>
        <w:t>setTimeout</w:t>
      </w:r>
      <w:r>
        <w:rPr>
          <w:rFonts w:ascii="Calibri" w:hAnsi="Calibri"/>
        </w:rPr>
        <w:t xml:space="preserve"> simulating network latency, so you can see the loading skeletons. It is not slowness.</w:t>
      </w:r>
    </w:p>
    <w:p>
      <w:r>
        <w:rPr>
          <w:rFonts w:ascii="Calibri" w:hAnsi="Calibri"/>
          <w:b/>
        </w:rPr>
        <w:t>To see the RBAC rules in §5 in action:</w:t>
      </w:r>
      <w:r>
        <w:rPr>
          <w:rFonts w:ascii="Calibri" w:hAnsi="Calibri"/>
        </w:rPr>
        <w:t xml:space="preserve"> click the avatar at the top-right → </w:t>
      </w:r>
      <w:r>
        <w:rPr>
          <w:rFonts w:ascii="Calibri" w:hAnsi="Calibri"/>
          <w:b/>
        </w:rPr>
        <w:t>Switch role</w:t>
      </w:r>
      <w:r>
        <w:rPr>
          <w:rFonts w:ascii="Calibri" w:hAnsi="Calibri"/>
        </w:rPr>
        <w:t xml:space="preserve">. Pick </w:t>
      </w:r>
      <w:r>
        <w:rPr>
          <w:rFonts w:ascii="Consolas" w:hAnsi="Consolas" w:cs="Consolas"/>
          <w:color w:val="A82C4A"/>
          <w:sz w:val="18"/>
        </w:rPr>
        <w:t>Finance Officer</w:t>
      </w:r>
      <w:r>
        <w:rPr>
          <w:rFonts w:ascii="Calibri" w:hAnsi="Calibri"/>
        </w:rPr>
        <w:t xml:space="preserve"> or </w:t>
      </w:r>
      <w:r>
        <w:rPr>
          <w:rFonts w:ascii="Consolas" w:hAnsi="Consolas" w:cs="Consolas"/>
          <w:color w:val="A82C4A"/>
          <w:sz w:val="18"/>
        </w:rPr>
        <w:t>Viewer</w:t>
      </w:r>
      <w:r>
        <w:rPr>
          <w:rFonts w:ascii="Calibri" w:hAnsi="Calibri"/>
        </w:rPr>
        <w:t xml:space="preserve"> and watch sidebar items and action buttons disappear. That is the permission matrix rendered live.</w:t>
      </w:r>
    </w:p>
    <w:p>
      <w:pPr>
        <w:spacing w:before="80" w:after="200"/>
        <w:pBdr>
          <w:bottom w:val="single" w:sz="6" w:space="1" w:color="DCE3EA"/>
        </w:pBdr>
      </w:pPr>
    </w:p>
    <w:p>
      <w:pPr>
        <w:pStyle w:val="Heading2"/>
        <w:pBdr>
          <w:bottom w:val="single" w:sz="6" w:space="5" w:color="C9D6E4"/>
        </w:pBdr>
      </w:pPr>
      <w:r>
        <w:rPr>
          <w:rFonts w:ascii="Calibri" w:hAnsi="Calibri"/>
          <w:b/>
          <w:color w:val="1F4E79"/>
          <w:sz w:val="31"/>
        </w:rPr>
        <w:t>1. Conventions</w:t>
      </w:r>
    </w:p>
    <w:p>
      <w:pPr>
        <w:pStyle w:val="Heading3"/>
      </w:pPr>
      <w:r>
        <w:rPr>
          <w:rFonts w:ascii="Calibri" w:hAnsi="Calibri"/>
          <w:b/>
          <w:color w:val="2E74B5"/>
          <w:sz w:val="25"/>
        </w:rPr>
        <w:t>1.1 Base URL &amp; versioning</w:t>
      </w:r>
    </w:p>
    <w:p>
      <w:pPr>
        <w:spacing w:before="120" w:after="120" w:line="240" w:lineRule="auto"/>
        <w:ind w:left="144" w:right="29"/>
        <w:keepLines w:val="1"/>
        <w:shd w:val="clear" w:color="auto" w:fill="F4F6F8"/>
        <w:pBdr>
          <w:left w:val="single" w:sz="6" w:space="3" w:color="D5DBE1"/>
          <w:right w:val="single" w:sz="6" w:space="3" w:color="D5DBE1"/>
          <w:top w:val="single" w:sz="6" w:space="3" w:color="D5DBE1"/>
          <w:bottom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https://&lt;host&gt;/api/v1/supplier</w:t>
      </w:r>
    </w:p>
    <w:p>
      <w:r>
        <w:rPr>
          <w:rFonts w:ascii="Calibri" w:hAnsi="Calibri"/>
        </w:rPr>
        <w:t>All endpoints in this document are relative to that base.</w:t>
      </w:r>
    </w:p>
    <w:p>
      <w:pPr>
        <w:pStyle w:val="Heading3"/>
      </w:pPr>
      <w:r>
        <w:rPr>
          <w:rFonts w:ascii="Calibri" w:hAnsi="Calibri"/>
          <w:b/>
          <w:color w:val="2E74B5"/>
          <w:sz w:val="25"/>
        </w:rPr>
        <w:t>1.2 Authentication</w:t>
      </w:r>
    </w:p>
    <w:p>
      <w:pPr>
        <w:spacing w:after="60"/>
        <w:ind w:left="605" w:hanging="317"/>
        <w:tabs>
          <w:tab w:val="left" w:pos="604"/>
        </w:tabs>
      </w:pPr>
      <w:r>
        <w:rPr>
          <w:rFonts w:ascii="Calibri" w:hAnsi="Calibri"/>
          <w:b w:val="0"/>
        </w:rPr>
        <w:t>•</w:t>
        <w:tab/>
      </w:r>
      <w:r>
        <w:rPr>
          <w:rFonts w:ascii="Calibri" w:hAnsi="Calibri"/>
        </w:rPr>
        <w:t xml:space="preserve">Session is established by </w:t>
      </w:r>
      <w:r>
        <w:rPr>
          <w:rFonts w:ascii="Consolas" w:hAnsi="Consolas" w:cs="Consolas"/>
          <w:color w:val="A82C4A"/>
          <w:sz w:val="18"/>
        </w:rPr>
        <w:t>POST /auth/login</w:t>
      </w:r>
      <w:r>
        <w:rPr>
          <w:rFonts w:ascii="Calibri" w:hAnsi="Calibri"/>
        </w:rPr>
        <w:t xml:space="preserve"> → </w:t>
      </w:r>
      <w:r>
        <w:rPr>
          <w:rFonts w:ascii="Consolas" w:hAnsi="Consolas" w:cs="Consolas"/>
          <w:color w:val="A82C4A"/>
          <w:sz w:val="18"/>
        </w:rPr>
        <w:t>POST /auth/verify-otp</w:t>
      </w:r>
      <w:r>
        <w:rPr>
          <w:rFonts w:ascii="Calibri" w:hAnsi="Calibri"/>
        </w:rPr>
        <w:t>.</w:t>
      </w:r>
    </w:p>
    <w:p>
      <w:pPr>
        <w:spacing w:after="60"/>
        <w:ind w:left="605" w:hanging="317"/>
        <w:tabs>
          <w:tab w:val="left" w:pos="604"/>
        </w:tabs>
      </w:pPr>
      <w:r>
        <w:rPr>
          <w:rFonts w:ascii="Calibri" w:hAnsi="Calibri"/>
          <w:b w:val="0"/>
        </w:rPr>
        <w:t>•</w:t>
        <w:tab/>
      </w:r>
      <w:r>
        <w:rPr>
          <w:rFonts w:ascii="Calibri" w:hAnsi="Calibri"/>
        </w:rPr>
        <w:t xml:space="preserve">After that, every request carries </w:t>
      </w:r>
      <w:r>
        <w:rPr>
          <w:rFonts w:ascii="Consolas" w:hAnsi="Consolas" w:cs="Consolas"/>
          <w:color w:val="A82C4A"/>
          <w:sz w:val="18"/>
        </w:rPr>
        <w:t>Authorization: Bearer &lt;accessToken&gt;</w:t>
      </w:r>
      <w:r>
        <w:rPr>
          <w:rFonts w:ascii="Calibri" w:hAnsi="Calibri"/>
        </w:rPr>
        <w:t>.</w:t>
      </w:r>
    </w:p>
    <w:p>
      <w:pPr>
        <w:spacing w:after="60"/>
        <w:ind w:left="605" w:hanging="317"/>
        <w:tabs>
          <w:tab w:val="left" w:pos="604"/>
        </w:tabs>
      </w:pPr>
      <w:r>
        <w:rPr>
          <w:rFonts w:ascii="Calibri" w:hAnsi="Calibri"/>
          <w:b w:val="0"/>
        </w:rPr>
        <w:t>•</w:t>
        <w:tab/>
      </w:r>
      <w:r>
        <w:rPr>
          <w:rFonts w:ascii="Calibri" w:hAnsi="Calibri"/>
        </w:rPr>
        <w:t xml:space="preserve">The supplier identity is derived </w:t>
      </w:r>
      <w:r>
        <w:rPr>
          <w:rFonts w:ascii="Calibri" w:hAnsi="Calibri"/>
          <w:b/>
        </w:rPr>
        <w:t>server-side from the token</w:t>
      </w:r>
      <w:r>
        <w:rPr>
          <w:rFonts w:ascii="Calibri" w:hAnsi="Calibri"/>
        </w:rPr>
        <w:t xml:space="preserve">. The frontend never sends </w:t>
      </w:r>
      <w:r>
        <w:rPr>
          <w:rFonts w:ascii="Consolas" w:hAnsi="Consolas" w:cs="Consolas"/>
          <w:color w:val="A82C4A"/>
          <w:sz w:val="18"/>
        </w:rPr>
        <w:t>supplierId</w:t>
      </w:r>
      <w:r>
        <w:rPr>
          <w:rFonts w:ascii="Calibri" w:hAnsi="Calibri"/>
        </w:rPr>
        <w:t xml:space="preserve"> as a filter — the backend must scope every list to the calling supplier's </w:t>
      </w:r>
      <w:r>
        <w:rPr>
          <w:rFonts w:ascii="Consolas" w:hAnsi="Consolas" w:cs="Consolas"/>
          <w:color w:val="A82C4A"/>
          <w:sz w:val="18"/>
        </w:rPr>
        <w:t>C_BPartner</w:t>
      </w:r>
      <w:r>
        <w:rPr>
          <w:rFonts w:ascii="Calibri" w:hAnsi="Calibri"/>
        </w:rPr>
        <w:t>. This is a hard security requirement.</w:t>
      </w:r>
    </w:p>
    <w:p>
      <w:pPr>
        <w:pStyle w:val="Heading3"/>
      </w:pPr>
      <w:r>
        <w:rPr>
          <w:rFonts w:ascii="Calibri" w:hAnsi="Calibri"/>
          <w:b/>
          <w:color w:val="2E74B5"/>
          <w:sz w:val="25"/>
        </w:rPr>
        <w:t>1.3 Response envelope</w:t>
      </w:r>
    </w:p>
    <w:p>
      <w:r>
        <w:rPr>
          <w:rFonts w:ascii="Calibri" w:hAnsi="Calibri"/>
        </w:rPr>
        <w:t xml:space="preserve">Single resource and list endpoints return the payload directly (no </w:t>
      </w:r>
      <w:r>
        <w:rPr>
          <w:rFonts w:ascii="Consolas" w:hAnsi="Consolas" w:cs="Consolas"/>
          <w:color w:val="A82C4A"/>
          <w:sz w:val="18"/>
        </w:rPr>
        <w:t>{data: ...}</w:t>
      </w:r>
      <w:r>
        <w:rPr>
          <w:rFonts w:ascii="Calibri" w:hAnsi="Calibri"/>
        </w:rPr>
        <w:t xml:space="preserve"> wrapper), because the frontend's React Query layer consumes it as-is:</w:t>
      </w:r>
    </w:p>
    <w:p>
      <w:pPr>
        <w:spacing w:before="12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  <w:top w:val="single" w:sz="6" w:space="3" w:color="D5DBE1"/>
        </w:pBdr>
      </w:pPr>
      <w:r>
        <w:rPr>
          <w:rFonts w:ascii="Consolas" w:hAnsi="Consolas" w:cs="Consolas" w:eastAsia="Consolas"/>
          <w:color w:val="6A8263"/>
          <w:sz w:val="17"/>
        </w:rPr>
        <w:t>// GET /purchase-orders/po-001</w:t>
      </w:r>
    </w:p>
    <w:p>
      <w:pPr>
        <w:spacing w:before="0" w:after="120" w:line="240" w:lineRule="auto"/>
        <w:ind w:left="144" w:right="29"/>
        <w:keepLines w:val="1"/>
        <w:shd w:val="clear" w:color="auto" w:fill="F4F6F8"/>
        <w:pBdr>
          <w:left w:val="single" w:sz="6" w:space="3" w:color="D5DBE1"/>
          <w:right w:val="single" w:sz="6" w:space="3" w:color="D5DBE1"/>
          <w:bottom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{ "id": "po-001", "poNumber": "PO-2026-0001", ... }</w:t>
      </w:r>
    </w:p>
    <w:p>
      <w:r>
        <w:rPr>
          <w:rFonts w:ascii="Calibri" w:hAnsi="Calibri"/>
        </w:rPr>
        <w:t>Lists return a bare JSON array:</w:t>
      </w:r>
    </w:p>
    <w:p>
      <w:pPr>
        <w:spacing w:before="12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  <w:top w:val="single" w:sz="6" w:space="3" w:color="D5DBE1"/>
        </w:pBdr>
      </w:pPr>
      <w:r>
        <w:rPr>
          <w:rFonts w:ascii="Consolas" w:hAnsi="Consolas" w:cs="Consolas" w:eastAsia="Consolas"/>
          <w:color w:val="6A8263"/>
          <w:sz w:val="17"/>
        </w:rPr>
        <w:t>// GET /purchase-orders</w:t>
      </w:r>
    </w:p>
    <w:p>
      <w:pPr>
        <w:spacing w:before="0" w:after="120" w:line="240" w:lineRule="auto"/>
        <w:ind w:left="144" w:right="29"/>
        <w:keepLines w:val="1"/>
        <w:shd w:val="clear" w:color="auto" w:fill="F4F6F8"/>
        <w:pBdr>
          <w:left w:val="single" w:sz="6" w:space="3" w:color="D5DBE1"/>
          <w:right w:val="single" w:sz="6" w:space="3" w:color="D5DBE1"/>
          <w:bottom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[ { "id": "po-001", ... }, { "id": "po-002", ... } ]</w:t>
      </w:r>
    </w:p>
    <w:p>
      <w:pPr>
        <w:spacing w:before="60" w:after="60"/>
        <w:ind w:left="317" w:right="115"/>
        <w:shd w:val="clear" w:color="auto" w:fill="FFF8E6"/>
        <w:pBdr>
          <w:left w:val="single" w:sz="18" w:space="8" w:color="E0A800"/>
        </w:pBdr>
      </w:pPr>
      <w:r>
        <w:rPr>
          <w:rFonts w:ascii="Calibri" w:hAnsi="Calibri"/>
        </w:rPr>
        <w:t>If you prefer a paginated envelope (</w:t>
      </w:r>
      <w:r>
        <w:rPr>
          <w:rFonts w:ascii="Consolas" w:hAnsi="Consolas" w:cs="Consolas"/>
          <w:color w:val="A82C4A"/>
          <w:sz w:val="18"/>
        </w:rPr>
        <w:t>{ "items": [], "total": 0, "page": 1 }</w:t>
      </w:r>
      <w:r>
        <w:rPr>
          <w:rFonts w:ascii="Calibri" w:hAnsi="Calibri"/>
        </w:rPr>
        <w:t xml:space="preserve">), that is fine — tell us and we will adapt the fetch layer. But </w:t>
      </w:r>
      <w:r>
        <w:rPr>
          <w:rFonts w:ascii="Calibri" w:hAnsi="Calibri"/>
          <w:b/>
        </w:rPr>
        <w:t>pick one and apply it everywhere.</w:t>
      </w:r>
      <w:r>
        <w:rPr>
          <w:rFonts w:ascii="Calibri" w:hAnsi="Calibri"/>
        </w:rPr>
        <w:t xml:space="preserve"> Current volumes (tens–hundreds of rows per supplier) do not require pagination.</w:t>
      </w:r>
    </w:p>
    <w:p>
      <w:pPr>
        <w:pStyle w:val="Heading3"/>
      </w:pPr>
      <w:r>
        <w:rPr>
          <w:rFonts w:ascii="Calibri" w:hAnsi="Calibri"/>
          <w:b/>
          <w:color w:val="2E74B5"/>
          <w:sz w:val="25"/>
        </w:rPr>
        <w:t>1.4 Error format</w:t>
      </w:r>
    </w:p>
    <w:p>
      <w:pPr>
        <w:spacing w:before="12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  <w:top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{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"error": {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"code": "PO_NOT_FOUND",           // stable machine code, used for branching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"message": "Purchase order not found",  // shown in a toast, must be user-safe English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"fields": {                        // optional, for 422 form validation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  "amount": "Bill amount cannot exceed the order value"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}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}</w:t>
      </w:r>
    </w:p>
    <w:p>
      <w:pPr>
        <w:spacing w:before="0" w:after="120" w:line="240" w:lineRule="auto"/>
        <w:ind w:left="144" w:right="29"/>
        <w:keepLines w:val="1"/>
        <w:shd w:val="clear" w:color="auto" w:fill="F4F6F8"/>
        <w:pBdr>
          <w:left w:val="single" w:sz="6" w:space="3" w:color="D5DBE1"/>
          <w:right w:val="single" w:sz="6" w:space="3" w:color="D5DBE1"/>
          <w:bottom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}</w:t>
      </w:r>
    </w:p>
    <w:p>
      <w:r>
        <w:rPr>
          <w:rFonts w:ascii="Calibri" w:hAnsi="Calibri"/>
        </w:rPr>
        <w:t xml:space="preserve">HTTP codes: </w:t>
      </w:r>
      <w:r>
        <w:rPr>
          <w:rFonts w:ascii="Consolas" w:hAnsi="Consolas" w:cs="Consolas"/>
          <w:color w:val="A82C4A"/>
          <w:sz w:val="18"/>
        </w:rPr>
        <w:t>400</w:t>
      </w:r>
      <w:r>
        <w:rPr>
          <w:rFonts w:ascii="Calibri" w:hAnsi="Calibri"/>
        </w:rPr>
        <w:t xml:space="preserve"> bad request · </w:t>
      </w:r>
      <w:r>
        <w:rPr>
          <w:rFonts w:ascii="Consolas" w:hAnsi="Consolas" w:cs="Consolas"/>
          <w:color w:val="A82C4A"/>
          <w:sz w:val="18"/>
        </w:rPr>
        <w:t>401</w:t>
      </w:r>
      <w:r>
        <w:rPr>
          <w:rFonts w:ascii="Calibri" w:hAnsi="Calibri"/>
        </w:rPr>
        <w:t xml:space="preserve"> expired/invalid token · </w:t>
      </w:r>
      <w:r>
        <w:rPr>
          <w:rFonts w:ascii="Consolas" w:hAnsi="Consolas" w:cs="Consolas"/>
          <w:color w:val="A82C4A"/>
          <w:sz w:val="18"/>
        </w:rPr>
        <w:t>403</w:t>
      </w:r>
      <w:r>
        <w:rPr>
          <w:rFonts w:ascii="Calibri" w:hAnsi="Calibri"/>
        </w:rPr>
        <w:t xml:space="preserve"> permission denied · </w:t>
      </w:r>
      <w:r>
        <w:rPr>
          <w:rFonts w:ascii="Consolas" w:hAnsi="Consolas" w:cs="Consolas"/>
          <w:color w:val="A82C4A"/>
          <w:sz w:val="18"/>
        </w:rPr>
        <w:t>404</w:t>
      </w:r>
      <w:r>
        <w:rPr>
          <w:rFonts w:ascii="Calibri" w:hAnsi="Calibri"/>
        </w:rPr>
        <w:t xml:space="preserve"> not found · </w:t>
      </w:r>
      <w:r>
        <w:rPr>
          <w:rFonts w:ascii="Consolas" w:hAnsi="Consolas" w:cs="Consolas"/>
          <w:color w:val="A82C4A"/>
          <w:sz w:val="18"/>
        </w:rPr>
        <w:t>409</w:t>
      </w:r>
      <w:r>
        <w:rPr>
          <w:rFonts w:ascii="Calibri" w:hAnsi="Calibri"/>
        </w:rPr>
        <w:t xml:space="preserve"> state conflict (e.g. acknowledging an already-acknowledged PO) · </w:t>
      </w:r>
      <w:r>
        <w:rPr>
          <w:rFonts w:ascii="Consolas" w:hAnsi="Consolas" w:cs="Consolas"/>
          <w:color w:val="A82C4A"/>
          <w:sz w:val="18"/>
        </w:rPr>
        <w:t>422</w:t>
      </w:r>
      <w:r>
        <w:rPr>
          <w:rFonts w:ascii="Calibri" w:hAnsi="Calibri"/>
        </w:rPr>
        <w:t xml:space="preserve"> validation · </w:t>
      </w:r>
      <w:r>
        <w:rPr>
          <w:rFonts w:ascii="Consolas" w:hAnsi="Consolas" w:cs="Consolas"/>
          <w:color w:val="A82C4A"/>
          <w:sz w:val="18"/>
        </w:rPr>
        <w:t>500</w:t>
      </w:r>
      <w:r>
        <w:rPr>
          <w:rFonts w:ascii="Calibri" w:hAnsi="Calibri"/>
        </w:rPr>
        <w:t xml:space="preserve"> server error.</w:t>
      </w:r>
    </w:p>
    <w:p>
      <w:pPr>
        <w:pStyle w:val="Heading3"/>
      </w:pPr>
      <w:r>
        <w:rPr>
          <w:rFonts w:ascii="Calibri" w:hAnsi="Calibri"/>
          <w:b/>
          <w:color w:val="2E74B5"/>
          <w:sz w:val="25"/>
        </w:rPr>
        <w:t>1.5 Data type rules — please read, these cause the most bugs</w:t>
      </w:r>
    </w:p>
    <w:tbl>
      <w:tblPr>
        <w:tblStyle w:val="TableGrid"/>
        <w:tblW w:type="dxa" w:w="9604"/>
        <w:tblLayout w:type="fixed"/>
        <w:tblLook w:firstColumn="1" w:firstRow="1" w:lastColumn="0" w:lastRow="0" w:noHBand="0" w:noVBand="1" w:val="04A0"/>
        <w:tblBorders>
          <w:top w:val="single" w:sz="4" w:space="0" w:color="C6CED6"/>
          <w:left w:val="single" w:sz="4" w:space="0" w:color="C6CED6"/>
          <w:bottom w:val="single" w:sz="4" w:space="0" w:color="C6CED6"/>
          <w:right w:val="single" w:sz="4" w:space="0" w:color="C6CED6"/>
          <w:insideH w:val="single" w:sz="4" w:space="0" w:color="C6CED6"/>
          <w:insideV w:val="single" w:sz="4" w:space="0" w:color="C6CED6"/>
        </w:tblBorders>
        <w:tblLayout w:type="fixed"/>
      </w:tblPr>
      <w:tblGrid>
        <w:gridCol w:w="1323"/>
        <w:gridCol w:w="8280"/>
      </w:tblGrid>
      <w:tr>
        <w:trPr>
          <w:tblHeader w:val="true"/>
          <w:cantSplit w:val="true"/>
        </w:trPr>
        <w:tc>
          <w:tcPr>
            <w:tcW w:type="dxa" w:w="1324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Concern</w:t>
            </w:r>
          </w:p>
        </w:tc>
        <w:tc>
          <w:tcPr>
            <w:tcW w:type="dxa" w:w="8281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Rule</w:t>
            </w:r>
          </w:p>
        </w:tc>
      </w:tr>
      <w:tr>
        <w:trPr>
          <w:cantSplit w:val="true"/>
        </w:trPr>
        <w:tc>
          <w:tcPr>
            <w:tcW w:type="dxa" w:w="132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Money</w:t>
            </w:r>
          </w:p>
        </w:tc>
        <w:tc>
          <w:tcPr>
            <w:tcW w:type="dxa" w:w="82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 xml:space="preserve">Send as a </w:t>
            </w:r>
            <w:r>
              <w:rPr>
                <w:rFonts w:ascii="Calibri" w:hAnsi="Calibri"/>
                <w:b/>
                <w:sz w:val="19"/>
              </w:rPr>
              <w:t>JSON number in BDT</w:t>
            </w:r>
            <w:r>
              <w:rPr>
                <w:rFonts w:ascii="Calibri" w:hAnsi="Calibri"/>
                <w:sz w:val="19"/>
              </w:rPr>
              <w:t xml:space="preserve">, not a string, not paisa. </w:t>
            </w:r>
            <w:r>
              <w:rPr>
                <w:rFonts w:ascii="Consolas" w:hAnsi="Consolas" w:cs="Consolas"/>
                <w:color w:val="A82C4A"/>
                <w:sz w:val="17"/>
              </w:rPr>
              <w:t>1250000</w:t>
            </w:r>
            <w:r>
              <w:rPr>
                <w:rFonts w:ascii="Calibri" w:hAnsi="Calibri"/>
                <w:sz w:val="19"/>
              </w:rPr>
              <w:t xml:space="preserve"> means ৳12,50,000. Round to whole taka on the server — the UI does not render decimals.</w:t>
            </w:r>
          </w:p>
        </w:tc>
      </w:tr>
      <w:tr>
        <w:trPr>
          <w:cantSplit w:val="true"/>
        </w:trPr>
        <w:tc>
          <w:tcPr>
            <w:tcW w:type="dxa" w:w="1324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Dates / timestamps</w:t>
            </w:r>
          </w:p>
        </w:tc>
        <w:tc>
          <w:tcPr>
            <w:tcW w:type="dxa" w:w="8281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 xml:space="preserve">Always </w:t>
            </w:r>
            <w:r>
              <w:rPr>
                <w:rFonts w:ascii="Calibri" w:hAnsi="Calibri"/>
                <w:b/>
                <w:sz w:val="19"/>
              </w:rPr>
              <w:t>ISO 8601 UTC with timezone</w:t>
            </w:r>
            <w:r>
              <w:rPr>
                <w:rFonts w:ascii="Calibri" w:hAnsi="Calibri"/>
                <w:sz w:val="19"/>
              </w:rPr>
              <w:t xml:space="preserve">: </w:t>
            </w:r>
            <w:r>
              <w:rPr>
                <w:rFonts w:ascii="Consolas" w:hAnsi="Consolas" w:cs="Consolas"/>
                <w:color w:val="A82C4A"/>
                <w:sz w:val="17"/>
              </w:rPr>
              <w:t>"2026-08-14T09:30:00.000Z"</w:t>
            </w:r>
            <w:r>
              <w:rPr>
                <w:rFonts w:ascii="Calibri" w:hAnsi="Calibri"/>
                <w:sz w:val="19"/>
              </w:rPr>
              <w:t xml:space="preserve">. Never </w:t>
            </w:r>
            <w:r>
              <w:rPr>
                <w:rFonts w:ascii="Consolas" w:hAnsi="Consolas" w:cs="Consolas"/>
                <w:color w:val="A82C4A"/>
                <w:sz w:val="17"/>
              </w:rPr>
              <w:t>"14/08/2026"</w:t>
            </w:r>
            <w:r>
              <w:rPr>
                <w:rFonts w:ascii="Calibri" w:hAnsi="Calibri"/>
                <w:sz w:val="19"/>
              </w:rPr>
              <w:t>, never a bare date without time for timestamp fields. Date-only fields (issue date, expiry date) may be sent as ISO datetime at midnight — the frontend formats them.</w:t>
            </w:r>
          </w:p>
        </w:tc>
      </w:tr>
      <w:tr>
        <w:trPr>
          <w:cantSplit w:val="true"/>
        </w:trPr>
        <w:tc>
          <w:tcPr>
            <w:tcW w:type="dxa" w:w="132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IDs</w:t>
            </w:r>
          </w:p>
        </w:tc>
        <w:tc>
          <w:tcPr>
            <w:tcW w:type="dxa" w:w="82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 xml:space="preserve">Send as </w:t>
            </w:r>
            <w:r>
              <w:rPr>
                <w:rFonts w:ascii="Calibri" w:hAnsi="Calibri"/>
                <w:b/>
                <w:sz w:val="19"/>
              </w:rPr>
              <w:t>strings</w:t>
            </w:r>
            <w:r>
              <w:rPr>
                <w:rFonts w:ascii="Calibri" w:hAnsi="Calibri"/>
                <w:sz w:val="19"/>
              </w:rPr>
              <w:t xml:space="preserve">, even if iDempiere's </w:t>
            </w:r>
            <w:r>
              <w:rPr>
                <w:rFonts w:ascii="Consolas" w:hAnsi="Consolas" w:cs="Consolas"/>
                <w:color w:val="A82C4A"/>
                <w:sz w:val="17"/>
              </w:rPr>
              <w:t>*_ID</w:t>
            </w:r>
            <w:r>
              <w:rPr>
                <w:rFonts w:ascii="Calibri" w:hAnsi="Calibri"/>
                <w:sz w:val="19"/>
              </w:rPr>
              <w:t xml:space="preserve"> is numeric. </w:t>
            </w:r>
            <w:r>
              <w:rPr>
                <w:rFonts w:ascii="Consolas" w:hAnsi="Consolas" w:cs="Consolas"/>
                <w:color w:val="A82C4A"/>
                <w:sz w:val="17"/>
              </w:rPr>
              <w:t>"id": "1000042"</w:t>
            </w:r>
            <w:r>
              <w:rPr>
                <w:rFonts w:ascii="Calibri" w:hAnsi="Calibri"/>
                <w:sz w:val="19"/>
              </w:rPr>
              <w:t xml:space="preserve"> not </w:t>
            </w:r>
            <w:r>
              <w:rPr>
                <w:rFonts w:ascii="Consolas" w:hAnsi="Consolas" w:cs="Consolas"/>
                <w:color w:val="A82C4A"/>
                <w:sz w:val="17"/>
              </w:rPr>
              <w:t>"id": 1000042</w:t>
            </w:r>
            <w:r>
              <w:rPr>
                <w:rFonts w:ascii="Calibri" w:hAnsi="Calibri"/>
                <w:sz w:val="19"/>
              </w:rPr>
              <w:t>. Mixed types break React keys and URL routing.</w:t>
            </w:r>
          </w:p>
        </w:tc>
      </w:tr>
      <w:tr>
        <w:trPr>
          <w:cantSplit w:val="true"/>
        </w:trPr>
        <w:tc>
          <w:tcPr>
            <w:tcW w:type="dxa" w:w="1324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Enums</w:t>
            </w:r>
          </w:p>
        </w:tc>
        <w:tc>
          <w:tcPr>
            <w:tcW w:type="dxa" w:w="8281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 xml:space="preserve">Lowercase </w:t>
            </w:r>
            <w:r>
              <w:rPr>
                <w:rFonts w:ascii="Consolas" w:hAnsi="Consolas" w:cs="Consolas"/>
                <w:color w:val="A82C4A"/>
                <w:sz w:val="17"/>
              </w:rPr>
              <w:t>snake_case</w:t>
            </w:r>
            <w:r>
              <w:rPr>
                <w:rFonts w:ascii="Calibri" w:hAnsi="Calibri"/>
                <w:sz w:val="19"/>
              </w:rPr>
              <w:t xml:space="preserve"> strings from the fixed lists in §2. Do </w:t>
            </w:r>
            <w:r>
              <w:rPr>
                <w:rFonts w:ascii="Calibri" w:hAnsi="Calibri"/>
                <w:b/>
                <w:sz w:val="19"/>
              </w:rPr>
              <w:t>not</w:t>
            </w:r>
            <w:r>
              <w:rPr>
                <w:rFonts w:ascii="Calibri" w:hAnsi="Calibri"/>
                <w:sz w:val="19"/>
              </w:rPr>
              <w:t xml:space="preserve"> send iDempiere's single-character reference values (</w:t>
            </w:r>
            <w:r>
              <w:rPr>
                <w:rFonts w:ascii="Consolas" w:hAnsi="Consolas" w:cs="Consolas"/>
                <w:color w:val="A82C4A"/>
                <w:sz w:val="17"/>
              </w:rPr>
              <w:t>"CO"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A82C4A"/>
                <w:sz w:val="17"/>
              </w:rPr>
              <w:t>"DR"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A82C4A"/>
                <w:sz w:val="17"/>
              </w:rPr>
              <w:t>"IP"</w:t>
            </w:r>
            <w:r>
              <w:rPr>
                <w:rFonts w:ascii="Calibri" w:hAnsi="Calibri"/>
                <w:sz w:val="19"/>
              </w:rPr>
              <w:t>) — map them server-side. Do not send display labels; the frontend owns translation to English/Bangla.</w:t>
            </w:r>
          </w:p>
        </w:tc>
      </w:tr>
      <w:tr>
        <w:trPr>
          <w:cantSplit w:val="true"/>
        </w:trPr>
        <w:tc>
          <w:tcPr>
            <w:tcW w:type="dxa" w:w="132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Nulls</w:t>
            </w:r>
          </w:p>
        </w:tc>
        <w:tc>
          <w:tcPr>
            <w:tcW w:type="dxa" w:w="82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 xml:space="preserve">Omit optional fields or send </w:t>
            </w:r>
            <w:r>
              <w:rPr>
                <w:rFonts w:ascii="Consolas" w:hAnsi="Consolas" w:cs="Consolas"/>
                <w:color w:val="A82C4A"/>
                <w:sz w:val="17"/>
              </w:rPr>
              <w:t>null</w:t>
            </w:r>
            <w:r>
              <w:rPr>
                <w:rFonts w:ascii="Calibri" w:hAnsi="Calibri"/>
                <w:sz w:val="19"/>
              </w:rPr>
              <w:t xml:space="preserve">. Do not send </w:t>
            </w:r>
            <w:r>
              <w:rPr>
                <w:rFonts w:ascii="Consolas" w:hAnsi="Consolas" w:cs="Consolas"/>
                <w:color w:val="A82C4A"/>
                <w:sz w:val="17"/>
              </w:rPr>
              <w:t>""</w:t>
            </w:r>
            <w:r>
              <w:rPr>
                <w:rFonts w:ascii="Calibri" w:hAnsi="Calibri"/>
                <w:sz w:val="19"/>
              </w:rPr>
              <w:t xml:space="preserve"> or </w:t>
            </w:r>
            <w:r>
              <w:rPr>
                <w:rFonts w:ascii="Consolas" w:hAnsi="Consolas" w:cs="Consolas"/>
                <w:color w:val="A82C4A"/>
                <w:sz w:val="17"/>
              </w:rPr>
              <w:t>"N/A"</w:t>
            </w:r>
            <w:r>
              <w:rPr>
                <w:rFonts w:ascii="Calibri" w:hAnsi="Calibri"/>
                <w:sz w:val="19"/>
              </w:rPr>
              <w:t xml:space="preserve"> — the UI uses presence to decide whether to render a row.</w:t>
            </w:r>
          </w:p>
        </w:tc>
      </w:tr>
      <w:tr>
        <w:trPr>
          <w:cantSplit w:val="true"/>
        </w:trPr>
        <w:tc>
          <w:tcPr>
            <w:tcW w:type="dxa" w:w="1324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Booleans</w:t>
            </w:r>
          </w:p>
        </w:tc>
        <w:tc>
          <w:tcPr>
            <w:tcW w:type="dxa" w:w="8281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 xml:space="preserve">Real </w:t>
            </w:r>
            <w:r>
              <w:rPr>
                <w:rFonts w:ascii="Consolas" w:hAnsi="Consolas" w:cs="Consolas"/>
                <w:color w:val="A82C4A"/>
                <w:sz w:val="17"/>
              </w:rPr>
              <w:t>true</w:t>
            </w:r>
            <w:r>
              <w:rPr>
                <w:rFonts w:ascii="Calibri" w:hAnsi="Calibri"/>
                <w:sz w:val="19"/>
              </w:rPr>
              <w:t>/</w:t>
            </w:r>
            <w:r>
              <w:rPr>
                <w:rFonts w:ascii="Consolas" w:hAnsi="Consolas" w:cs="Consolas"/>
                <w:color w:val="A82C4A"/>
                <w:sz w:val="17"/>
              </w:rPr>
              <w:t>false</w:t>
            </w:r>
            <w:r>
              <w:rPr>
                <w:rFonts w:ascii="Calibri" w:hAnsi="Calibri"/>
                <w:sz w:val="19"/>
              </w:rPr>
              <w:t xml:space="preserve">, not </w:t>
            </w:r>
            <w:r>
              <w:rPr>
                <w:rFonts w:ascii="Consolas" w:hAnsi="Consolas" w:cs="Consolas"/>
                <w:color w:val="A82C4A"/>
                <w:sz w:val="17"/>
              </w:rPr>
              <w:t>"Y"</w:t>
            </w:r>
            <w:r>
              <w:rPr>
                <w:rFonts w:ascii="Calibri" w:hAnsi="Calibri"/>
                <w:sz w:val="19"/>
              </w:rPr>
              <w:t>/</w:t>
            </w:r>
            <w:r>
              <w:rPr>
                <w:rFonts w:ascii="Consolas" w:hAnsi="Consolas" w:cs="Consolas"/>
                <w:color w:val="A82C4A"/>
                <w:sz w:val="17"/>
              </w:rPr>
              <w:t>"N"</w:t>
            </w:r>
            <w:r>
              <w:rPr>
                <w:rFonts w:ascii="Calibri" w:hAnsi="Calibri"/>
                <w:sz w:val="19"/>
              </w:rPr>
              <w:t>.</w:t>
            </w:r>
          </w:p>
        </w:tc>
      </w:tr>
      <w:tr>
        <w:trPr>
          <w:cantSplit w:val="true"/>
        </w:trPr>
        <w:tc>
          <w:tcPr>
            <w:tcW w:type="dxa" w:w="132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Arrays</w:t>
            </w:r>
          </w:p>
        </w:tc>
        <w:tc>
          <w:tcPr>
            <w:tcW w:type="dxa" w:w="828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 xml:space="preserve">Never </w:t>
            </w:r>
            <w:r>
              <w:rPr>
                <w:rFonts w:ascii="Consolas" w:hAnsi="Consolas" w:cs="Consolas"/>
                <w:color w:val="A82C4A"/>
                <w:sz w:val="17"/>
              </w:rPr>
              <w:t>null</w:t>
            </w:r>
            <w:r>
              <w:rPr>
                <w:rFonts w:ascii="Calibri" w:hAnsi="Calibri"/>
                <w:sz w:val="19"/>
              </w:rPr>
              <w:t xml:space="preserve">. An empty list is </w:t>
            </w:r>
            <w:r>
              <w:rPr>
                <w:rFonts w:ascii="Consolas" w:hAnsi="Consolas" w:cs="Consolas"/>
                <w:color w:val="A82C4A"/>
                <w:sz w:val="17"/>
              </w:rPr>
              <w:t>[]</w:t>
            </w:r>
            <w:r>
              <w:rPr>
                <w:rFonts w:ascii="Calibri" w:hAnsi="Calibri"/>
                <w:sz w:val="19"/>
              </w:rPr>
              <w:t>.</w:t>
            </w:r>
          </w:p>
        </w:tc>
      </w:tr>
    </w:tbl>
    <w:p>
      <w:pPr>
        <w:spacing w:after="80" w:before="0"/>
      </w:pPr>
    </w:p>
    <w:p>
      <w:pPr>
        <w:pStyle w:val="Heading3"/>
      </w:pPr>
      <w:r>
        <w:rPr>
          <w:rFonts w:ascii="Calibri" w:hAnsi="Calibri"/>
          <w:b/>
          <w:color w:val="2E74B5"/>
          <w:sz w:val="25"/>
        </w:rPr>
        <w:t>1.6 Field naming</w:t>
      </w:r>
    </w:p>
    <w:p>
      <w:r>
        <w:rPr>
          <w:rFonts w:ascii="Consolas" w:hAnsi="Consolas" w:cs="Consolas"/>
          <w:color w:val="A82C4A"/>
          <w:sz w:val="18"/>
        </w:rPr>
        <w:t>camelCase</w:t>
      </w:r>
      <w:r>
        <w:rPr>
          <w:rFonts w:ascii="Calibri" w:hAnsi="Calibri"/>
        </w:rPr>
        <w:t xml:space="preserve"> throughout. The frontend consumes these directly as TypeScript object properties.</w:t>
      </w:r>
    </w:p>
    <w:p>
      <w:pPr>
        <w:spacing w:before="80" w:after="200"/>
        <w:pBdr>
          <w:bottom w:val="single" w:sz="6" w:space="1" w:color="DCE3EA"/>
        </w:pBdr>
      </w:pPr>
    </w:p>
    <w:p>
      <w:pPr>
        <w:pStyle w:val="Heading2"/>
        <w:pBdr>
          <w:bottom w:val="single" w:sz="6" w:space="5" w:color="C9D6E4"/>
        </w:pBdr>
      </w:pPr>
      <w:r>
        <w:rPr>
          <w:rFonts w:ascii="Calibri" w:hAnsi="Calibri"/>
          <w:b/>
          <w:color w:val="1F4E79"/>
          <w:sz w:val="31"/>
        </w:rPr>
        <w:t>2. Shared enums</w:t>
      </w:r>
    </w:p>
    <w:p>
      <w:r>
        <w:rPr>
          <w:rFonts w:ascii="Calibri" w:hAnsi="Calibri"/>
        </w:rPr>
        <w:t>These are closed sets. Any value outside them will render as a blank/grey pill.</w:t>
      </w:r>
    </w:p>
    <w:p>
      <w:pPr>
        <w:spacing w:before="12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  <w:top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"POStatus":       "draft" | "issued" | "acknowledged" | "partially_fulfilled" | "fulfilled" | "cancelled"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"InvoiceStatus":  "draft" | "submitted" | "under_review" | "approved" | "paid" | "rejected"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"PaymentStatus":  "paid" | "processing" | "failed"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"DeliveryStatus": "scheduled" | "in_transit" | "delivered" | "grn_confirmed"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"DocumentType":   "trade_license" | "tin_certificate" | "vat_registration" | "bank_solvency" | "iso_certification"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"DocumentStatus": "valid" | "expiring_soon" | "expired" | "pending_verification"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"TenderStatus":   "published" | "evaluation" | "negotiation" | "awarded" | "closed" | "cancelled"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"BidStatus":      "draft" | "submitted" | "under_evaluation" | "clarification_requested" | "shortlisted" | "awarded" | "not_awarded" | "rejected"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"SupplierRole":   "supplier_admin" | "finance_officer" | "logistics_officer" | "viewer"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"NotificationType": "po_issued" | "po_acknowledged" | "grn_confirmed"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              | "invoice_approved" | "invoice_rejected" | "payment_received"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              | "document_expiring"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              | "tender_published" | "bid_clarification_requested"</w:t>
      </w:r>
    </w:p>
    <w:p>
      <w:pPr>
        <w:spacing w:before="0" w:after="120" w:line="240" w:lineRule="auto"/>
        <w:ind w:left="144" w:right="29"/>
        <w:keepLines w:val="1"/>
        <w:shd w:val="clear" w:color="auto" w:fill="F4F6F8"/>
        <w:pBdr>
          <w:left w:val="single" w:sz="6" w:space="3" w:color="D5DBE1"/>
          <w:right w:val="single" w:sz="6" w:space="3" w:color="D5DBE1"/>
          <w:bottom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              | "bid_shortlisted" | "bid_awarded" | "bid_not_awarded"</w:t>
      </w:r>
    </w:p>
    <w:p>
      <w:r>
        <w:rPr>
          <w:rFonts w:ascii="Calibri" w:hAnsi="Calibri"/>
          <w:b/>
        </w:rPr>
        <w:t>Note on PO status:</w:t>
      </w:r>
      <w:r>
        <w:rPr>
          <w:rFonts w:ascii="Calibri" w:hAnsi="Calibri"/>
        </w:rPr>
        <w:t xml:space="preserve"> the supplier-facing UI relabels these — </w:t>
      </w:r>
      <w:r>
        <w:rPr>
          <w:rFonts w:ascii="Consolas" w:hAnsi="Consolas" w:cs="Consolas"/>
          <w:color w:val="A82C4A"/>
          <w:sz w:val="18"/>
        </w:rPr>
        <w:t>acknowledged</w:t>
      </w:r>
      <w:r>
        <w:rPr>
          <w:rFonts w:ascii="Calibri" w:hAnsi="Calibri"/>
        </w:rPr>
        <w:t xml:space="preserve"> displays as "Waiting for Delivery", </w:t>
      </w:r>
      <w:r>
        <w:rPr>
          <w:rFonts w:ascii="Consolas" w:hAnsi="Consolas" w:cs="Consolas"/>
          <w:color w:val="A82C4A"/>
          <w:sz w:val="18"/>
        </w:rPr>
        <w:t>partially_fulfilled</w:t>
      </w:r>
      <w:r>
        <w:rPr>
          <w:rFonts w:ascii="Calibri" w:hAnsi="Calibri"/>
        </w:rPr>
        <w:t xml:space="preserve"> as "Partially Delivered", </w:t>
      </w:r>
      <w:r>
        <w:rPr>
          <w:rFonts w:ascii="Consolas" w:hAnsi="Consolas" w:cs="Consolas"/>
          <w:color w:val="A82C4A"/>
          <w:sz w:val="18"/>
        </w:rPr>
        <w:t>fulfilled</w:t>
      </w:r>
      <w:r>
        <w:rPr>
          <w:rFonts w:ascii="Calibri" w:hAnsi="Calibri"/>
        </w:rPr>
        <w:t xml:space="preserve"> as "Delivered". Send the raw enum; the frontend does the relabelling.</w:t>
      </w:r>
    </w:p>
    <w:p>
      <w:pPr>
        <w:spacing w:before="80" w:after="200"/>
        <w:pBdr>
          <w:bottom w:val="single" w:sz="6" w:space="1" w:color="DCE3EA"/>
        </w:pBdr>
      </w:pPr>
    </w:p>
    <w:p>
      <w:pPr>
        <w:pStyle w:val="Heading2"/>
        <w:pBdr>
          <w:bottom w:val="single" w:sz="6" w:space="5" w:color="C9D6E4"/>
        </w:pBdr>
      </w:pPr>
      <w:r>
        <w:rPr>
          <w:rFonts w:ascii="Calibri" w:hAnsi="Calibri"/>
          <w:b/>
          <w:color w:val="1F4E79"/>
          <w:sz w:val="31"/>
        </w:rPr>
        <w:t>3. Screen → endpoint map (quick reference)</w:t>
      </w:r>
    </w:p>
    <w:p>
      <w:r>
        <w:rPr>
          <w:rFonts w:ascii="Calibri" w:hAnsi="Calibri"/>
        </w:rPr>
        <w:t xml:space="preserve">Every screen name links to the live demo. Detail screens use a representative record — noted where the choice matters (e.g. a PO in </w:t>
      </w:r>
      <w:r>
        <w:rPr>
          <w:rFonts w:ascii="Consolas" w:hAnsi="Consolas" w:cs="Consolas"/>
          <w:color w:val="A82C4A"/>
          <w:sz w:val="18"/>
        </w:rPr>
        <w:t>issued</w:t>
      </w:r>
      <w:r>
        <w:rPr>
          <w:rFonts w:ascii="Calibri" w:hAnsi="Calibri"/>
        </w:rPr>
        <w:t xml:space="preserve"> status is the only one that shows the Acknowledge button).</w:t>
      </w:r>
    </w:p>
    <w:tbl>
      <w:tblPr>
        <w:tblStyle w:val="TableGrid"/>
        <w:tblW w:type="dxa" w:w="9604"/>
        <w:tblLayout w:type="fixed"/>
        <w:tblLook w:firstColumn="1" w:firstRow="1" w:lastColumn="0" w:lastRow="0" w:noHBand="0" w:noVBand="1" w:val="04A0"/>
        <w:tblBorders>
          <w:top w:val="single" w:sz="4" w:space="0" w:color="C6CED6"/>
          <w:left w:val="single" w:sz="4" w:space="0" w:color="C6CED6"/>
          <w:bottom w:val="single" w:sz="4" w:space="0" w:color="C6CED6"/>
          <w:right w:val="single" w:sz="4" w:space="0" w:color="C6CED6"/>
          <w:insideH w:val="single" w:sz="4" w:space="0" w:color="C6CED6"/>
          <w:insideV w:val="single" w:sz="4" w:space="0" w:color="C6CED6"/>
        </w:tblBorders>
        <w:tblLayout w:type="fixed"/>
      </w:tblPr>
      <w:tblGrid>
        <w:gridCol w:w="604"/>
        <w:gridCol w:w="2650"/>
        <w:gridCol w:w="6349"/>
      </w:tblGrid>
      <w:tr>
        <w:trPr>
          <w:tblHeader w:val="true"/>
          <w:cantSplit w:val="true"/>
        </w:trPr>
        <w:tc>
          <w:tcPr>
            <w:tcW w:type="dxa" w:w="605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650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Screen (click to open)</w:t>
            </w:r>
          </w:p>
        </w:tc>
        <w:tc>
          <w:tcPr>
            <w:tcW w:type="dxa" w:w="6350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Endpoints called</w:t>
            </w:r>
          </w:p>
        </w:tc>
      </w:tr>
      <w:tr>
        <w:trPr>
          <w:cantSplit w:val="true"/>
        </w:trPr>
        <w:tc>
          <w:tcPr>
            <w:tcW w:type="dxa" w:w="60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265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hyperlink r:id="rId11">
              <w:r>
                <w:rPr>
                  <w:rFonts w:ascii="Calibri" w:hAnsi="Calibri" w:cs="Calibri"/>
                  <w:color w:val="0B5CAB"/>
                  <w:u w:val="single"/>
                </w:rPr>
                <w:t xml:space="preserve">Login</w:t>
              </w:r>
            </w:hyperlink>
          </w:p>
        </w:tc>
        <w:tc>
          <w:tcPr>
            <w:tcW w:type="dxa" w:w="635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7"/>
              </w:rPr>
              <w:t>POST /auth/login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A82C4A"/>
                <w:sz w:val="17"/>
              </w:rPr>
              <w:t>POST /auth/verify-otp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A82C4A"/>
                <w:sz w:val="17"/>
              </w:rPr>
              <w:t>POST /auth/resend-otp</w:t>
            </w:r>
          </w:p>
        </w:tc>
      </w:tr>
      <w:tr>
        <w:trPr>
          <w:cantSplit w:val="true"/>
        </w:trPr>
        <w:tc>
          <w:tcPr>
            <w:tcW w:type="dxa" w:w="605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2650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hyperlink r:id="rId12">
              <w:r>
                <w:rPr>
                  <w:rFonts w:ascii="Calibri" w:hAnsi="Calibri" w:cs="Calibri"/>
                  <w:color w:val="0B5CAB"/>
                  <w:u w:val="single"/>
                </w:rPr>
                <w:t xml:space="preserve">Dashboard</w:t>
              </w:r>
            </w:hyperlink>
          </w:p>
        </w:tc>
        <w:tc>
          <w:tcPr>
            <w:tcW w:type="dxa" w:w="6350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7"/>
              </w:rPr>
              <w:t>GET /dashboard/kpi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A82C4A"/>
                <w:sz w:val="17"/>
              </w:rPr>
              <w:t>GET /purchase-orders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A82C4A"/>
                <w:sz w:val="17"/>
              </w:rPr>
              <w:t>GET /invoices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A82C4A"/>
                <w:sz w:val="17"/>
              </w:rPr>
              <w:t>GET /tenders?status=published</w:t>
            </w:r>
          </w:p>
        </w:tc>
      </w:tr>
      <w:tr>
        <w:trPr>
          <w:cantSplit w:val="true"/>
        </w:trPr>
        <w:tc>
          <w:tcPr>
            <w:tcW w:type="dxa" w:w="60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265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hyperlink r:id="rId13">
              <w:r>
                <w:rPr>
                  <w:rFonts w:ascii="Calibri" w:hAnsi="Calibri" w:cs="Calibri"/>
                  <w:color w:val="0B5CAB"/>
                  <w:u w:val="single"/>
                </w:rPr>
                <w:t xml:space="preserve">Tenders list</w:t>
              </w:r>
            </w:hyperlink>
          </w:p>
        </w:tc>
        <w:tc>
          <w:tcPr>
            <w:tcW w:type="dxa" w:w="635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7"/>
              </w:rPr>
              <w:t>GET /tenders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A82C4A"/>
                <w:sz w:val="17"/>
              </w:rPr>
              <w:t>GET /bids</w:t>
            </w:r>
          </w:p>
        </w:tc>
      </w:tr>
      <w:tr>
        <w:trPr>
          <w:cantSplit w:val="true"/>
        </w:trPr>
        <w:tc>
          <w:tcPr>
            <w:tcW w:type="dxa" w:w="605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2650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hyperlink r:id="rId14">
              <w:r>
                <w:rPr>
                  <w:rFonts w:ascii="Calibri" w:hAnsi="Calibri" w:cs="Calibri"/>
                  <w:color w:val="0B5CAB"/>
                  <w:u w:val="single"/>
                </w:rPr>
                <w:t xml:space="preserve">Tender detail</w:t>
              </w:r>
            </w:hyperlink>
          </w:p>
        </w:tc>
        <w:tc>
          <w:tcPr>
            <w:tcW w:type="dxa" w:w="6350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7"/>
              </w:rPr>
              <w:t>GET /tenders/{id}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A82C4A"/>
                <w:sz w:val="17"/>
              </w:rPr>
              <w:t>GET /tenders/{id}/bid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A82C4A"/>
                <w:sz w:val="17"/>
              </w:rPr>
              <w:t>GET /documents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A82C4A"/>
                <w:sz w:val="17"/>
              </w:rPr>
              <w:t>POST /tenders/{id}/clarifications</w:t>
            </w:r>
          </w:p>
        </w:tc>
      </w:tr>
      <w:tr>
        <w:trPr>
          <w:cantSplit w:val="true"/>
        </w:trPr>
        <w:tc>
          <w:tcPr>
            <w:tcW w:type="dxa" w:w="60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265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hyperlink r:id="rId15">
              <w:r>
                <w:rPr>
                  <w:rFonts w:ascii="Calibri" w:hAnsi="Calibri" w:cs="Calibri"/>
                  <w:color w:val="0B5CAB"/>
                  <w:u w:val="single"/>
                </w:rPr>
                <w:t xml:space="preserve">Submit bid</w:t>
              </w:r>
            </w:hyperlink>
          </w:p>
        </w:tc>
        <w:tc>
          <w:tcPr>
            <w:tcW w:type="dxa" w:w="635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7"/>
              </w:rPr>
              <w:t>GET /tenders/{id}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A82C4A"/>
                <w:sz w:val="17"/>
              </w:rPr>
              <w:t>GET /tenders/{id}/bid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A82C4A"/>
                <w:sz w:val="17"/>
              </w:rPr>
              <w:t>POST /bids</w:t>
            </w:r>
          </w:p>
        </w:tc>
      </w:tr>
      <w:tr>
        <w:trPr>
          <w:cantSplit w:val="true"/>
        </w:trPr>
        <w:tc>
          <w:tcPr>
            <w:tcW w:type="dxa" w:w="605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2650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hyperlink r:id="rId16">
              <w:r>
                <w:rPr>
                  <w:rFonts w:ascii="Calibri" w:hAnsi="Calibri" w:cs="Calibri"/>
                  <w:color w:val="0B5CAB"/>
                  <w:u w:val="single"/>
                </w:rPr>
                <w:t xml:space="preserve">Bids list</w:t>
              </w:r>
            </w:hyperlink>
          </w:p>
        </w:tc>
        <w:tc>
          <w:tcPr>
            <w:tcW w:type="dxa" w:w="6350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7"/>
              </w:rPr>
              <w:t>GET /bids</w:t>
            </w:r>
          </w:p>
        </w:tc>
      </w:tr>
      <w:tr>
        <w:trPr>
          <w:cantSplit w:val="true"/>
        </w:trPr>
        <w:tc>
          <w:tcPr>
            <w:tcW w:type="dxa" w:w="60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265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hyperlink r:id="rId17">
              <w:r>
                <w:rPr>
                  <w:rFonts w:ascii="Calibri" w:hAnsi="Calibri" w:cs="Calibri"/>
                  <w:color w:val="0B5CAB"/>
                  <w:u w:val="single"/>
                </w:rPr>
                <w:t xml:space="preserve">Bid detail</w:t>
              </w:r>
            </w:hyperlink>
          </w:p>
        </w:tc>
        <w:tc>
          <w:tcPr>
            <w:tcW w:type="dxa" w:w="635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7"/>
              </w:rPr>
              <w:t>GET /bids/{id}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A82C4A"/>
                <w:sz w:val="17"/>
              </w:rPr>
              <w:t>POST /bids/{id}/clarifications/{cid}/response</w:t>
            </w:r>
          </w:p>
        </w:tc>
      </w:tr>
      <w:tr>
        <w:trPr>
          <w:cantSplit w:val="true"/>
        </w:trPr>
        <w:tc>
          <w:tcPr>
            <w:tcW w:type="dxa" w:w="605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2650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hyperlink r:id="rId18">
              <w:r>
                <w:rPr>
                  <w:rFonts w:ascii="Calibri" w:hAnsi="Calibri" w:cs="Calibri"/>
                  <w:color w:val="0B5CAB"/>
                  <w:u w:val="single"/>
                </w:rPr>
                <w:t xml:space="preserve">Order Information (PO list)</w:t>
              </w:r>
            </w:hyperlink>
          </w:p>
        </w:tc>
        <w:tc>
          <w:tcPr>
            <w:tcW w:type="dxa" w:w="6350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7"/>
              </w:rPr>
              <w:t>GET /purchase-orders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A82C4A"/>
                <w:sz w:val="17"/>
              </w:rPr>
              <w:t>GET /invoices</w:t>
            </w:r>
          </w:p>
        </w:tc>
      </w:tr>
      <w:tr>
        <w:trPr>
          <w:cantSplit w:val="true"/>
        </w:trPr>
        <w:tc>
          <w:tcPr>
            <w:tcW w:type="dxa" w:w="60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265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hyperlink r:id="rId19">
              <w:r>
                <w:rPr>
                  <w:rFonts w:ascii="Calibri" w:hAnsi="Calibri" w:cs="Calibri"/>
                  <w:color w:val="0B5CAB"/>
                  <w:u w:val="single"/>
                </w:rPr>
                <w:t xml:space="preserve">Order detail</w:t>
              </w:r>
            </w:hyperlink>
          </w:p>
        </w:tc>
        <w:tc>
          <w:tcPr>
            <w:tcW w:type="dxa" w:w="635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7"/>
              </w:rPr>
              <w:t>GET /purchase-orders/{id}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A82C4A"/>
                <w:sz w:val="17"/>
              </w:rPr>
              <w:t>GET /invoices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A82C4A"/>
                <w:sz w:val="17"/>
              </w:rPr>
              <w:t>GET /payments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A82C4A"/>
                <w:sz w:val="17"/>
              </w:rPr>
              <w:t>GET /profile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A82C4A"/>
                <w:sz w:val="17"/>
              </w:rPr>
              <w:t>POST /purchase-orders/{id}/acknowledge</w:t>
            </w:r>
          </w:p>
        </w:tc>
      </w:tr>
      <w:tr>
        <w:trPr>
          <w:cantSplit w:val="true"/>
        </w:trPr>
        <w:tc>
          <w:tcPr>
            <w:tcW w:type="dxa" w:w="605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2650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hyperlink r:id="rId20">
              <w:r>
                <w:rPr>
                  <w:rFonts w:ascii="Calibri" w:hAnsi="Calibri" w:cs="Calibri"/>
                  <w:color w:val="0B5CAB"/>
                  <w:u w:val="single"/>
                </w:rPr>
                <w:t xml:space="preserve">Bill Submission list</w:t>
              </w:r>
            </w:hyperlink>
          </w:p>
        </w:tc>
        <w:tc>
          <w:tcPr>
            <w:tcW w:type="dxa" w:w="6350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7"/>
              </w:rPr>
              <w:t>GET /purchase-orders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A82C4A"/>
                <w:sz w:val="17"/>
              </w:rPr>
              <w:t>GET /invoices</w:t>
            </w:r>
          </w:p>
        </w:tc>
      </w:tr>
      <w:tr>
        <w:trPr>
          <w:cantSplit w:val="true"/>
        </w:trPr>
        <w:tc>
          <w:tcPr>
            <w:tcW w:type="dxa" w:w="60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265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hyperlink r:id="rId21">
              <w:r>
                <w:rPr>
                  <w:rFonts w:ascii="Calibri" w:hAnsi="Calibri" w:cs="Calibri"/>
                  <w:color w:val="0B5CAB"/>
                  <w:u w:val="single"/>
                </w:rPr>
                <w:t xml:space="preserve">Submit Bill form</w:t>
              </w:r>
            </w:hyperlink>
          </w:p>
        </w:tc>
        <w:tc>
          <w:tcPr>
            <w:tcW w:type="dxa" w:w="635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7"/>
              </w:rPr>
              <w:t>GET /purchase-orders/{id}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A82C4A"/>
                <w:sz w:val="17"/>
              </w:rPr>
              <w:t>POST /invoices</w:t>
            </w:r>
          </w:p>
        </w:tc>
      </w:tr>
      <w:tr>
        <w:trPr>
          <w:cantSplit w:val="true"/>
        </w:trPr>
        <w:tc>
          <w:tcPr>
            <w:tcW w:type="dxa" w:w="605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11</w:t>
            </w:r>
          </w:p>
        </w:tc>
        <w:tc>
          <w:tcPr>
            <w:tcW w:type="dxa" w:w="2650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hyperlink r:id="rId22">
              <w:r>
                <w:rPr>
                  <w:rFonts w:ascii="Calibri" w:hAnsi="Calibri" w:cs="Calibri"/>
                  <w:color w:val="0B5CAB"/>
                  <w:u w:val="single"/>
                </w:rPr>
                <w:t xml:space="preserve">Payment History</w:t>
              </w:r>
            </w:hyperlink>
          </w:p>
        </w:tc>
        <w:tc>
          <w:tcPr>
            <w:tcW w:type="dxa" w:w="6350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7"/>
              </w:rPr>
              <w:t>GET /payments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A82C4A"/>
                <w:sz w:val="17"/>
              </w:rPr>
              <w:t>GET /invoices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A82C4A"/>
                <w:sz w:val="17"/>
              </w:rPr>
              <w:t>GET /purchase-orders</w:t>
            </w:r>
          </w:p>
        </w:tc>
      </w:tr>
      <w:tr>
        <w:trPr>
          <w:cantSplit w:val="true"/>
        </w:trPr>
        <w:tc>
          <w:tcPr>
            <w:tcW w:type="dxa" w:w="60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12</w:t>
            </w:r>
          </w:p>
        </w:tc>
        <w:tc>
          <w:tcPr>
            <w:tcW w:type="dxa" w:w="265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hyperlink r:id="rId23">
              <w:r>
                <w:rPr>
                  <w:rFonts w:ascii="Calibri" w:hAnsi="Calibri" w:cs="Calibri"/>
                  <w:color w:val="0B5CAB"/>
                  <w:u w:val="single"/>
                </w:rPr>
                <w:t xml:space="preserve">Invoices list</w:t>
              </w:r>
            </w:hyperlink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i/>
                <w:sz w:val="19"/>
              </w:rPr>
              <w:t>(hidden from nav)</w:t>
            </w:r>
          </w:p>
        </w:tc>
        <w:tc>
          <w:tcPr>
            <w:tcW w:type="dxa" w:w="635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7"/>
              </w:rPr>
              <w:t>GET /invoices</w:t>
            </w:r>
          </w:p>
        </w:tc>
      </w:tr>
      <w:tr>
        <w:trPr>
          <w:cantSplit w:val="true"/>
        </w:trPr>
        <w:tc>
          <w:tcPr>
            <w:tcW w:type="dxa" w:w="605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13</w:t>
            </w:r>
          </w:p>
        </w:tc>
        <w:tc>
          <w:tcPr>
            <w:tcW w:type="dxa" w:w="2650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hyperlink r:id="rId24">
              <w:r>
                <w:rPr>
                  <w:rFonts w:ascii="Calibri" w:hAnsi="Calibri" w:cs="Calibri"/>
                  <w:color w:val="0B5CAB"/>
                  <w:u w:val="single"/>
                </w:rPr>
                <w:t xml:space="preserve">Invoice detail</w:t>
              </w:r>
            </w:hyperlink>
          </w:p>
        </w:tc>
        <w:tc>
          <w:tcPr>
            <w:tcW w:type="dxa" w:w="6350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7"/>
              </w:rPr>
              <w:t>GET /invoices/{id}</w:t>
            </w:r>
          </w:p>
        </w:tc>
      </w:tr>
      <w:tr>
        <w:trPr>
          <w:cantSplit w:val="true"/>
        </w:trPr>
        <w:tc>
          <w:tcPr>
            <w:tcW w:type="dxa" w:w="60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14</w:t>
            </w:r>
          </w:p>
        </w:tc>
        <w:tc>
          <w:tcPr>
            <w:tcW w:type="dxa" w:w="265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hyperlink r:id="rId25">
              <w:r>
                <w:rPr>
                  <w:rFonts w:ascii="Calibri" w:hAnsi="Calibri" w:cs="Calibri"/>
                  <w:color w:val="0B5CAB"/>
                  <w:u w:val="single"/>
                </w:rPr>
                <w:t xml:space="preserve">New invoice</w:t>
              </w:r>
            </w:hyperlink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i/>
                <w:sz w:val="19"/>
              </w:rPr>
              <w:t>(hidden from nav)</w:t>
            </w:r>
          </w:p>
        </w:tc>
        <w:tc>
          <w:tcPr>
            <w:tcW w:type="dxa" w:w="635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7"/>
              </w:rPr>
              <w:t>GET /purchase-orders/acknowledged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A82C4A"/>
                <w:sz w:val="17"/>
              </w:rPr>
              <w:t>POST /invoices</w:t>
            </w:r>
          </w:p>
        </w:tc>
      </w:tr>
      <w:tr>
        <w:trPr>
          <w:cantSplit w:val="true"/>
        </w:trPr>
        <w:tc>
          <w:tcPr>
            <w:tcW w:type="dxa" w:w="605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15</w:t>
            </w:r>
          </w:p>
        </w:tc>
        <w:tc>
          <w:tcPr>
            <w:tcW w:type="dxa" w:w="2650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hyperlink r:id="rId26">
              <w:r>
                <w:rPr>
                  <w:rFonts w:ascii="Calibri" w:hAnsi="Calibri" w:cs="Calibri"/>
                  <w:color w:val="0B5CAB"/>
                  <w:u w:val="single"/>
                </w:rPr>
                <w:t xml:space="preserve">Compliance Documents</w:t>
              </w:r>
            </w:hyperlink>
          </w:p>
        </w:tc>
        <w:tc>
          <w:tcPr>
            <w:tcW w:type="dxa" w:w="6350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7"/>
              </w:rPr>
              <w:t>GET /documents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A82C4A"/>
                <w:sz w:val="17"/>
              </w:rPr>
              <w:t>POST /documents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i/>
                <w:sz w:val="19"/>
              </w:rPr>
              <w:t>(upload — not yet wired)</w:t>
            </w:r>
          </w:p>
        </w:tc>
      </w:tr>
      <w:tr>
        <w:trPr>
          <w:cantSplit w:val="true"/>
        </w:trPr>
        <w:tc>
          <w:tcPr>
            <w:tcW w:type="dxa" w:w="60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16</w:t>
            </w:r>
          </w:p>
        </w:tc>
        <w:tc>
          <w:tcPr>
            <w:tcW w:type="dxa" w:w="265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hyperlink r:id="rId27">
              <w:r>
                <w:rPr>
                  <w:rFonts w:ascii="Calibri" w:hAnsi="Calibri" w:cs="Calibri"/>
                  <w:color w:val="0B5CAB"/>
                  <w:u w:val="single"/>
                </w:rPr>
                <w:t xml:space="preserve">Reports</w:t>
              </w:r>
            </w:hyperlink>
          </w:p>
        </w:tc>
        <w:tc>
          <w:tcPr>
            <w:tcW w:type="dxa" w:w="635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7"/>
              </w:rPr>
              <w:t>GET /invoices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A82C4A"/>
                <w:sz w:val="17"/>
              </w:rPr>
              <w:t>GET /purchase-orders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A82C4A"/>
                <w:sz w:val="17"/>
              </w:rPr>
              <w:t>GET /challans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A82C4A"/>
                <w:sz w:val="17"/>
              </w:rPr>
              <w:t>GET /dashboard/kpi</w:t>
            </w:r>
          </w:p>
        </w:tc>
      </w:tr>
      <w:tr>
        <w:trPr>
          <w:cantSplit w:val="true"/>
        </w:trPr>
        <w:tc>
          <w:tcPr>
            <w:tcW w:type="dxa" w:w="605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17</w:t>
            </w:r>
          </w:p>
        </w:tc>
        <w:tc>
          <w:tcPr>
            <w:tcW w:type="dxa" w:w="2650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hyperlink r:id="rId28">
              <w:r>
                <w:rPr>
                  <w:rFonts w:ascii="Calibri" w:hAnsi="Calibri" w:cs="Calibri"/>
                  <w:color w:val="0B5CAB"/>
                  <w:u w:val="single"/>
                </w:rPr>
                <w:t xml:space="preserve">Notifications</w:t>
              </w:r>
            </w:hyperlink>
          </w:p>
        </w:tc>
        <w:tc>
          <w:tcPr>
            <w:tcW w:type="dxa" w:w="6350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7"/>
              </w:rPr>
              <w:t>GET /notifications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A82C4A"/>
                <w:sz w:val="17"/>
              </w:rPr>
              <w:t>POST /notifications/{id}/read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A82C4A"/>
                <w:sz w:val="17"/>
              </w:rPr>
              <w:t>POST /notifications/read-all</w:t>
            </w:r>
          </w:p>
        </w:tc>
      </w:tr>
      <w:tr>
        <w:trPr>
          <w:cantSplit w:val="true"/>
        </w:trPr>
        <w:tc>
          <w:tcPr>
            <w:tcW w:type="dxa" w:w="60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type="dxa" w:w="265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hyperlink r:id="rId29">
              <w:r>
                <w:rPr>
                  <w:rFonts w:ascii="Calibri" w:hAnsi="Calibri" w:cs="Calibri"/>
                  <w:color w:val="0B5CAB"/>
                  <w:u w:val="single"/>
                </w:rPr>
                <w:t xml:space="preserve">Company Profile</w:t>
              </w:r>
            </w:hyperlink>
          </w:p>
        </w:tc>
        <w:tc>
          <w:tcPr>
            <w:tcW w:type="dxa" w:w="635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7"/>
              </w:rPr>
              <w:t>GET /profile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A82C4A"/>
                <w:sz w:val="17"/>
              </w:rPr>
              <w:t>PATCH /profile</w:t>
            </w:r>
          </w:p>
        </w:tc>
      </w:tr>
      <w:tr>
        <w:trPr>
          <w:cantSplit w:val="true"/>
        </w:trPr>
        <w:tc>
          <w:tcPr>
            <w:tcW w:type="dxa" w:w="605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650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App shell (every screen)</w:t>
            </w:r>
          </w:p>
        </w:tc>
        <w:tc>
          <w:tcPr>
            <w:tcW w:type="dxa" w:w="6350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7"/>
              </w:rPr>
              <w:t>GET /me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A82C4A"/>
                <w:sz w:val="17"/>
              </w:rPr>
              <w:t>GET /notifications</w:t>
            </w:r>
            <w:r>
              <w:rPr>
                <w:rFonts w:ascii="Calibri" w:hAnsi="Calibri"/>
                <w:sz w:val="19"/>
              </w:rPr>
              <w:t xml:space="preserve"> (bell badge)</w:t>
            </w:r>
          </w:p>
        </w:tc>
      </w:tr>
    </w:tbl>
    <w:p>
      <w:pPr>
        <w:spacing w:after="80" w:before="0"/>
      </w:pPr>
    </w:p>
    <w:p>
      <w:r>
        <w:rPr>
          <w:rFonts w:ascii="Calibri" w:hAnsi="Calibri"/>
          <w:b/>
        </w:rPr>
        <w:t>Demo records worth knowing</w:t>
      </w:r>
      <w:r>
        <w:rPr>
          <w:rFonts w:ascii="Calibri" w:hAnsi="Calibri"/>
        </w:rPr>
        <w:t>, if you want to explore states other than the linked ones:</w:t>
      </w:r>
    </w:p>
    <w:tbl>
      <w:tblPr>
        <w:tblStyle w:val="TableGrid"/>
        <w:tblW w:type="dxa" w:w="9604"/>
        <w:tblLayout w:type="fixed"/>
        <w:tblLook w:firstColumn="1" w:firstRow="1" w:lastColumn="0" w:lastRow="0" w:noHBand="0" w:noVBand="1" w:val="04A0"/>
        <w:tblBorders>
          <w:top w:val="single" w:sz="4" w:space="0" w:color="C6CED6"/>
          <w:left w:val="single" w:sz="4" w:space="0" w:color="C6CED6"/>
          <w:bottom w:val="single" w:sz="4" w:space="0" w:color="C6CED6"/>
          <w:right w:val="single" w:sz="4" w:space="0" w:color="C6CED6"/>
          <w:insideH w:val="single" w:sz="4" w:space="0" w:color="C6CED6"/>
          <w:insideV w:val="single" w:sz="4" w:space="0" w:color="C6CED6"/>
        </w:tblBorders>
        <w:tblLayout w:type="fixed"/>
      </w:tblPr>
      <w:tblGrid>
        <w:gridCol w:w="1237"/>
        <w:gridCol w:w="1350"/>
        <w:gridCol w:w="7017"/>
      </w:tblGrid>
      <w:tr>
        <w:trPr>
          <w:tblHeader w:val="true"/>
          <w:cantSplit w:val="true"/>
        </w:trPr>
        <w:tc>
          <w:tcPr>
            <w:tcW w:type="dxa" w:w="1237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Entity</w:t>
            </w:r>
          </w:p>
        </w:tc>
        <w:tc>
          <w:tcPr>
            <w:tcW w:type="dxa" w:w="1350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IDs</w:t>
            </w:r>
          </w:p>
        </w:tc>
        <w:tc>
          <w:tcPr>
            <w:tcW w:type="dxa" w:w="7017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Notable states</w:t>
            </w:r>
          </w:p>
        </w:tc>
      </w:tr>
      <w:tr>
        <w:trPr>
          <w:cantSplit w:val="true"/>
        </w:trPr>
        <w:tc>
          <w:tcPr>
            <w:tcW w:type="dxa" w:w="123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Purchase orders</w:t>
            </w:r>
          </w:p>
        </w:tc>
        <w:tc>
          <w:tcPr>
            <w:tcW w:type="dxa" w:w="135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7"/>
              </w:rPr>
              <w:t>po-001</w:t>
            </w:r>
            <w:r>
              <w:rPr>
                <w:rFonts w:ascii="Calibri" w:hAnsi="Calibri"/>
                <w:sz w:val="19"/>
              </w:rPr>
              <w:t xml:space="preserve"> … </w:t>
            </w:r>
            <w:r>
              <w:rPr>
                <w:rFonts w:ascii="Consolas" w:hAnsi="Consolas" w:cs="Consolas"/>
                <w:color w:val="A82C4A"/>
                <w:sz w:val="17"/>
              </w:rPr>
              <w:t>po-014</w:t>
            </w:r>
          </w:p>
        </w:tc>
        <w:tc>
          <w:tcPr>
            <w:tcW w:type="dxa" w:w="701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7"/>
              </w:rPr>
              <w:t>po-008</w:t>
            </w:r>
            <w:r>
              <w:rPr>
                <w:rFonts w:ascii="Calibri" w:hAnsi="Calibri"/>
                <w:sz w:val="19"/>
              </w:rPr>
              <w:t>–</w:t>
            </w:r>
            <w:r>
              <w:rPr>
                <w:rFonts w:ascii="Consolas" w:hAnsi="Consolas" w:cs="Consolas"/>
                <w:color w:val="A82C4A"/>
                <w:sz w:val="17"/>
              </w:rPr>
              <w:t>po-012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A82C4A"/>
                <w:sz w:val="17"/>
              </w:rPr>
              <w:t>po-014</w:t>
            </w:r>
            <w:r>
              <w:rPr>
                <w:rFonts w:ascii="Calibri" w:hAnsi="Calibri"/>
                <w:sz w:val="19"/>
              </w:rPr>
              <w:t xml:space="preserve"> = </w:t>
            </w:r>
            <w:r>
              <w:rPr>
                <w:rFonts w:ascii="Calibri" w:hAnsi="Calibri"/>
                <w:b/>
                <w:sz w:val="19"/>
              </w:rPr>
              <w:t>issued</w:t>
            </w:r>
            <w:r>
              <w:rPr>
                <w:rFonts w:ascii="Calibri" w:hAnsi="Calibri"/>
                <w:sz w:val="19"/>
              </w:rPr>
              <w:t xml:space="preserve"> (Acknowledge button visible) · </w:t>
            </w:r>
            <w:r>
              <w:rPr>
                <w:rFonts w:ascii="Consolas" w:hAnsi="Consolas" w:cs="Consolas"/>
                <w:color w:val="A82C4A"/>
                <w:sz w:val="17"/>
              </w:rPr>
              <w:t>po-005</w:t>
            </w:r>
            <w:r>
              <w:rPr>
                <w:rFonts w:ascii="Calibri" w:hAnsi="Calibri"/>
                <w:sz w:val="19"/>
              </w:rPr>
              <w:t>–</w:t>
            </w:r>
            <w:r>
              <w:rPr>
                <w:rFonts w:ascii="Consolas" w:hAnsi="Consolas" w:cs="Consolas"/>
                <w:color w:val="A82C4A"/>
                <w:sz w:val="17"/>
              </w:rPr>
              <w:t>po-007</w:t>
            </w:r>
            <w:r>
              <w:rPr>
                <w:rFonts w:ascii="Calibri" w:hAnsi="Calibri"/>
                <w:sz w:val="19"/>
              </w:rPr>
              <w:t xml:space="preserve"> = acknowledged · </w:t>
            </w:r>
            <w:r>
              <w:rPr>
                <w:rFonts w:ascii="Consolas" w:hAnsi="Consolas" w:cs="Consolas"/>
                <w:color w:val="A82C4A"/>
                <w:sz w:val="17"/>
              </w:rPr>
              <w:t>po-003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A82C4A"/>
                <w:sz w:val="17"/>
              </w:rPr>
              <w:t>po-004</w:t>
            </w:r>
            <w:r>
              <w:rPr>
                <w:rFonts w:ascii="Calibri" w:hAnsi="Calibri"/>
                <w:sz w:val="19"/>
              </w:rPr>
              <w:t xml:space="preserve"> = partially delivered · </w:t>
            </w:r>
            <w:r>
              <w:rPr>
                <w:rFonts w:ascii="Consolas" w:hAnsi="Consolas" w:cs="Consolas"/>
                <w:color w:val="A82C4A"/>
                <w:sz w:val="17"/>
              </w:rPr>
              <w:t>po-001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A82C4A"/>
                <w:sz w:val="17"/>
              </w:rPr>
              <w:t>po-002</w:t>
            </w:r>
            <w:r>
              <w:rPr>
                <w:rFonts w:ascii="Calibri" w:hAnsi="Calibri"/>
                <w:sz w:val="19"/>
              </w:rPr>
              <w:t xml:space="preserve"> = delivered · </w:t>
            </w:r>
            <w:r>
              <w:rPr>
                <w:rFonts w:ascii="Consolas" w:hAnsi="Consolas" w:cs="Consolas"/>
                <w:color w:val="A82C4A"/>
                <w:sz w:val="17"/>
              </w:rPr>
              <w:t>po-013</w:t>
            </w:r>
            <w:r>
              <w:rPr>
                <w:rFonts w:ascii="Calibri" w:hAnsi="Calibri"/>
                <w:sz w:val="19"/>
              </w:rPr>
              <w:t xml:space="preserve"> = cancelled</w:t>
            </w:r>
          </w:p>
        </w:tc>
      </w:tr>
      <w:tr>
        <w:trPr>
          <w:cantSplit w:val="true"/>
        </w:trPr>
        <w:tc>
          <w:tcPr>
            <w:tcW w:type="dxa" w:w="1237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Tenders</w:t>
            </w:r>
          </w:p>
        </w:tc>
        <w:tc>
          <w:tcPr>
            <w:tcW w:type="dxa" w:w="1350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7"/>
              </w:rPr>
              <w:t>tnd-001</w:t>
            </w:r>
            <w:r>
              <w:rPr>
                <w:rFonts w:ascii="Calibri" w:hAnsi="Calibri"/>
                <w:sz w:val="19"/>
              </w:rPr>
              <w:t xml:space="preserve"> … </w:t>
            </w:r>
            <w:r>
              <w:rPr>
                <w:rFonts w:ascii="Consolas" w:hAnsi="Consolas" w:cs="Consolas"/>
                <w:color w:val="A82C4A"/>
                <w:sz w:val="17"/>
              </w:rPr>
              <w:t>tnd-008</w:t>
            </w:r>
          </w:p>
        </w:tc>
        <w:tc>
          <w:tcPr>
            <w:tcW w:type="dxa" w:w="7017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7"/>
              </w:rPr>
              <w:t>tnd-001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A82C4A"/>
                <w:sz w:val="17"/>
              </w:rPr>
              <w:t>tnd-007</w:t>
            </w:r>
            <w:r>
              <w:rPr>
                <w:rFonts w:ascii="Calibri" w:hAnsi="Calibri"/>
                <w:sz w:val="19"/>
              </w:rPr>
              <w:t xml:space="preserve"> = </w:t>
            </w:r>
            <w:r>
              <w:rPr>
                <w:rFonts w:ascii="Calibri" w:hAnsi="Calibri"/>
                <w:b/>
                <w:sz w:val="19"/>
              </w:rPr>
              <w:t>published, no bid yet</w:t>
            </w:r>
            <w:r>
              <w:rPr>
                <w:rFonts w:ascii="Calibri" w:hAnsi="Calibri"/>
                <w:sz w:val="19"/>
              </w:rPr>
              <w:t xml:space="preserve"> (bid form is open) · </w:t>
            </w:r>
            <w:r>
              <w:rPr>
                <w:rFonts w:ascii="Consolas" w:hAnsi="Consolas" w:cs="Consolas"/>
                <w:color w:val="A82C4A"/>
                <w:sz w:val="17"/>
              </w:rPr>
              <w:t>tnd-002</w:t>
            </w:r>
            <w:r>
              <w:rPr>
                <w:rFonts w:ascii="Calibri" w:hAnsi="Calibri"/>
                <w:sz w:val="19"/>
              </w:rPr>
              <w:t xml:space="preserve"> = published, already bid · </w:t>
            </w:r>
            <w:r>
              <w:rPr>
                <w:rFonts w:ascii="Consolas" w:hAnsi="Consolas" w:cs="Consolas"/>
                <w:color w:val="A82C4A"/>
                <w:sz w:val="17"/>
              </w:rPr>
              <w:t>tnd-003</w:t>
            </w:r>
            <w:r>
              <w:rPr>
                <w:rFonts w:ascii="Calibri" w:hAnsi="Calibri"/>
                <w:sz w:val="19"/>
              </w:rPr>
              <w:t xml:space="preserve"> = negotiation · </w:t>
            </w:r>
            <w:r>
              <w:rPr>
                <w:rFonts w:ascii="Consolas" w:hAnsi="Consolas" w:cs="Consolas"/>
                <w:color w:val="A82C4A"/>
                <w:sz w:val="17"/>
              </w:rPr>
              <w:t>tnd-004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A82C4A"/>
                <w:sz w:val="17"/>
              </w:rPr>
              <w:t>tnd-005</w:t>
            </w:r>
            <w:r>
              <w:rPr>
                <w:rFonts w:ascii="Calibri" w:hAnsi="Calibri"/>
                <w:sz w:val="19"/>
              </w:rPr>
              <w:t xml:space="preserve"> = awarded · </w:t>
            </w:r>
            <w:r>
              <w:rPr>
                <w:rFonts w:ascii="Consolas" w:hAnsi="Consolas" w:cs="Consolas"/>
                <w:color w:val="A82C4A"/>
                <w:sz w:val="17"/>
              </w:rPr>
              <w:t>tnd-008</w:t>
            </w:r>
            <w:r>
              <w:rPr>
                <w:rFonts w:ascii="Calibri" w:hAnsi="Calibri"/>
                <w:sz w:val="19"/>
              </w:rPr>
              <w:t xml:space="preserve"> = cancelled</w:t>
            </w:r>
          </w:p>
        </w:tc>
      </w:tr>
      <w:tr>
        <w:trPr>
          <w:cantSplit w:val="true"/>
        </w:trPr>
        <w:tc>
          <w:tcPr>
            <w:tcW w:type="dxa" w:w="123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Bids</w:t>
            </w:r>
          </w:p>
        </w:tc>
        <w:tc>
          <w:tcPr>
            <w:tcW w:type="dxa" w:w="135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7"/>
              </w:rPr>
              <w:t>bid-001</w:t>
            </w:r>
            <w:r>
              <w:rPr>
                <w:rFonts w:ascii="Calibri" w:hAnsi="Calibri"/>
                <w:sz w:val="19"/>
              </w:rPr>
              <w:t xml:space="preserve"> … </w:t>
            </w:r>
            <w:r>
              <w:rPr>
                <w:rFonts w:ascii="Consolas" w:hAnsi="Consolas" w:cs="Consolas"/>
                <w:color w:val="A82C4A"/>
                <w:sz w:val="17"/>
              </w:rPr>
              <w:t>bid-004</w:t>
            </w:r>
          </w:p>
        </w:tc>
        <w:tc>
          <w:tcPr>
            <w:tcW w:type="dxa" w:w="701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7"/>
              </w:rPr>
              <w:t>bid-002</w:t>
            </w:r>
            <w:r>
              <w:rPr>
                <w:rFonts w:ascii="Calibri" w:hAnsi="Calibri"/>
                <w:sz w:val="19"/>
              </w:rPr>
              <w:t xml:space="preserve"> = </w:t>
            </w:r>
            <w:r>
              <w:rPr>
                <w:rFonts w:ascii="Calibri" w:hAnsi="Calibri"/>
                <w:b/>
                <w:sz w:val="19"/>
              </w:rPr>
              <w:t>clarification_requested</w:t>
            </w:r>
            <w:r>
              <w:rPr>
                <w:rFonts w:ascii="Calibri" w:hAnsi="Calibri"/>
                <w:sz w:val="19"/>
              </w:rPr>
              <w:t xml:space="preserve"> (response box visible) · </w:t>
            </w:r>
            <w:r>
              <w:rPr>
                <w:rFonts w:ascii="Consolas" w:hAnsi="Consolas" w:cs="Consolas"/>
                <w:color w:val="A82C4A"/>
                <w:sz w:val="17"/>
              </w:rPr>
              <w:t>bid-001</w:t>
            </w:r>
            <w:r>
              <w:rPr>
                <w:rFonts w:ascii="Calibri" w:hAnsi="Calibri"/>
                <w:sz w:val="19"/>
              </w:rPr>
              <w:t xml:space="preserve"> = under evaluation · </w:t>
            </w:r>
            <w:r>
              <w:rPr>
                <w:rFonts w:ascii="Consolas" w:hAnsi="Consolas" w:cs="Consolas"/>
                <w:color w:val="A82C4A"/>
                <w:sz w:val="17"/>
              </w:rPr>
              <w:t>bid-003</w:t>
            </w:r>
            <w:r>
              <w:rPr>
                <w:rFonts w:ascii="Calibri" w:hAnsi="Calibri"/>
                <w:sz w:val="19"/>
              </w:rPr>
              <w:t xml:space="preserve"> = awarded · </w:t>
            </w:r>
            <w:r>
              <w:rPr>
                <w:rFonts w:ascii="Consolas" w:hAnsi="Consolas" w:cs="Consolas"/>
                <w:color w:val="A82C4A"/>
                <w:sz w:val="17"/>
              </w:rPr>
              <w:t>bid-004</w:t>
            </w:r>
            <w:r>
              <w:rPr>
                <w:rFonts w:ascii="Calibri" w:hAnsi="Calibri"/>
                <w:sz w:val="19"/>
              </w:rPr>
              <w:t xml:space="preserve"> = not awarded</w:t>
            </w:r>
          </w:p>
        </w:tc>
      </w:tr>
      <w:tr>
        <w:trPr>
          <w:cantSplit w:val="true"/>
        </w:trPr>
        <w:tc>
          <w:tcPr>
            <w:tcW w:type="dxa" w:w="1237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Invoices</w:t>
            </w:r>
          </w:p>
        </w:tc>
        <w:tc>
          <w:tcPr>
            <w:tcW w:type="dxa" w:w="1350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7"/>
              </w:rPr>
              <w:t>inv-001</w:t>
            </w:r>
            <w:r>
              <w:rPr>
                <w:rFonts w:ascii="Calibri" w:hAnsi="Calibri"/>
                <w:sz w:val="19"/>
              </w:rPr>
              <w:t xml:space="preserve"> … </w:t>
            </w:r>
            <w:r>
              <w:rPr>
                <w:rFonts w:ascii="Consolas" w:hAnsi="Consolas" w:cs="Consolas"/>
                <w:color w:val="A82C4A"/>
                <w:sz w:val="17"/>
              </w:rPr>
              <w:t>inv-011</w:t>
            </w:r>
          </w:p>
        </w:tc>
        <w:tc>
          <w:tcPr>
            <w:tcW w:type="dxa" w:w="7017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7"/>
              </w:rPr>
              <w:t>inv-001</w:t>
            </w:r>
            <w:r>
              <w:rPr>
                <w:rFonts w:ascii="Calibri" w:hAnsi="Calibri"/>
                <w:sz w:val="19"/>
              </w:rPr>
              <w:t>–</w:t>
            </w:r>
            <w:r>
              <w:rPr>
                <w:rFonts w:ascii="Consolas" w:hAnsi="Consolas" w:cs="Consolas"/>
                <w:color w:val="A82C4A"/>
                <w:sz w:val="17"/>
              </w:rPr>
              <w:t>inv-005</w:t>
            </w:r>
            <w:r>
              <w:rPr>
                <w:rFonts w:ascii="Calibri" w:hAnsi="Calibri"/>
                <w:sz w:val="19"/>
              </w:rPr>
              <w:t xml:space="preserve"> = paid (full timeline)</w:t>
            </w:r>
          </w:p>
        </w:tc>
      </w:tr>
      <w:tr>
        <w:trPr>
          <w:cantSplit w:val="true"/>
        </w:trPr>
        <w:tc>
          <w:tcPr>
            <w:tcW w:type="dxa" w:w="123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Documents</w:t>
            </w:r>
          </w:p>
        </w:tc>
        <w:tc>
          <w:tcPr>
            <w:tcW w:type="dxa" w:w="135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7"/>
              </w:rPr>
              <w:t>doc-001</w:t>
            </w:r>
            <w:r>
              <w:rPr>
                <w:rFonts w:ascii="Calibri" w:hAnsi="Calibri"/>
                <w:sz w:val="19"/>
              </w:rPr>
              <w:t xml:space="preserve"> … </w:t>
            </w:r>
            <w:r>
              <w:rPr>
                <w:rFonts w:ascii="Consolas" w:hAnsi="Consolas" w:cs="Consolas"/>
                <w:color w:val="A82C4A"/>
                <w:sz w:val="17"/>
              </w:rPr>
              <w:t>doc-006</w:t>
            </w:r>
          </w:p>
        </w:tc>
        <w:tc>
          <w:tcPr>
            <w:tcW w:type="dxa" w:w="701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Includes expired and expiring-soon docs that trigger the banners</w:t>
            </w:r>
          </w:p>
        </w:tc>
      </w:tr>
    </w:tbl>
    <w:p>
      <w:pPr>
        <w:spacing w:after="80" w:before="0"/>
      </w:pPr>
    </w:p>
    <w:p>
      <w:pPr>
        <w:spacing w:before="80" w:after="200"/>
        <w:pBdr>
          <w:bottom w:val="single" w:sz="6" w:space="1" w:color="DCE3EA"/>
        </w:pBdr>
      </w:pPr>
    </w:p>
    <w:p>
      <w:pPr>
        <w:pStyle w:val="Heading2"/>
        <w:pBdr>
          <w:bottom w:val="single" w:sz="6" w:space="5" w:color="C9D6E4"/>
        </w:pBdr>
      </w:pPr>
      <w:r>
        <w:rPr>
          <w:rFonts w:ascii="Calibri" w:hAnsi="Calibri"/>
          <w:b/>
          <w:color w:val="1F4E79"/>
          <w:sz w:val="31"/>
        </w:rPr>
        <w:t>4. Screen-by-screen contracts</w:t>
      </w:r>
    </w:p>
    <w:p>
      <w:pPr>
        <w:spacing w:before="80" w:after="200"/>
        <w:pBdr>
          <w:bottom w:val="single" w:sz="6" w:space="1" w:color="DCE3EA"/>
        </w:pBdr>
      </w:pPr>
    </w:p>
    <w:p>
      <w:pPr>
        <w:pStyle w:val="Heading3"/>
      </w:pPr>
      <w:r>
        <w:rPr>
          <w:rFonts w:ascii="Calibri" w:hAnsi="Calibri"/>
          <w:b/>
          <w:color w:val="2E74B5"/>
          <w:sz w:val="25"/>
        </w:rPr>
        <w:t xml:space="preserve">0. Login — </w:t>
      </w:r>
      <w:r>
        <w:rPr>
          <w:rFonts w:ascii="Consolas" w:hAnsi="Consolas" w:cs="Consolas"/>
          <w:b/>
          <w:color w:val="2E74B5"/>
          <w:sz w:val="22"/>
        </w:rPr>
        <w:t>/login</w:t>
      </w:r>
    </w:p>
    <w:p>
      <w:r>
        <w:rPr>
          <w:rFonts w:ascii="Calibri" w:hAnsi="Calibri"/>
          <w:b/>
        </w:rPr>
        <w:t>Open screen:</w:t>
      </w:r>
      <w:r>
        <w:rPr>
          <w:rFonts w:ascii="Calibri" w:hAnsi="Calibri"/>
        </w:rPr>
        <w:t xml:space="preserve"> </w:t>
      </w:r>
      <w:hyperlink r:id="rId11">
        <w:r>
          <w:rPr>
            <w:rFonts w:ascii="Calibri" w:hAnsi="Calibri" w:cs="Calibri"/>
            <w:color w:val="0B5CAB"/>
            <w:u w:val="single"/>
          </w:rPr>
          <w:t xml:space="preserve">Login screen</w:t>
        </w:r>
      </w:hyperlink>
    </w:p>
    <w:p>
      <w:r>
        <w:rPr>
          <w:rFonts w:ascii="Calibri" w:hAnsi="Calibri"/>
        </w:rPr>
        <w:t>Two-step: credentials → OTP.</w:t>
      </w:r>
    </w:p>
    <w:p>
      <w:pPr>
        <w:pStyle w:val="Heading4"/>
      </w:pPr>
      <w:r>
        <w:rPr>
          <w:rFonts w:ascii="Consolas" w:hAnsi="Consolas" w:cs="Consolas"/>
          <w:b/>
          <w:color w:val="2E74B5"/>
          <w:sz w:val="19"/>
        </w:rPr>
        <w:t>POST /auth/login</w:t>
      </w:r>
    </w:p>
    <w:p>
      <w:r>
        <w:rPr>
          <w:rFonts w:ascii="Calibri" w:hAnsi="Calibri"/>
          <w:b/>
        </w:rPr>
        <w:t>Request</w:t>
      </w:r>
    </w:p>
    <w:p>
      <w:pPr>
        <w:spacing w:before="12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  <w:top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{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"email": "ahsan.kabir@dhakapackaging.com.bd",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"password": "••••••••"</w:t>
      </w:r>
    </w:p>
    <w:p>
      <w:pPr>
        <w:spacing w:before="0" w:after="120" w:line="240" w:lineRule="auto"/>
        <w:ind w:left="144" w:right="29"/>
        <w:keepLines w:val="1"/>
        <w:shd w:val="clear" w:color="auto" w:fill="F4F6F8"/>
        <w:pBdr>
          <w:left w:val="single" w:sz="6" w:space="3" w:color="D5DBE1"/>
          <w:right w:val="single" w:sz="6" w:space="3" w:color="D5DBE1"/>
          <w:bottom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}</w:t>
      </w:r>
    </w:p>
    <w:p>
      <w:r>
        <w:rPr>
          <w:rFonts w:ascii="Calibri" w:hAnsi="Calibri"/>
          <w:b/>
        </w:rPr>
        <w:t>Response 200</w:t>
      </w:r>
    </w:p>
    <w:p>
      <w:pPr>
        <w:spacing w:before="12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  <w:top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{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"otpRequired": true,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"otpToken": "opaque-challenge-token",   // echoed back on verify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"otpDestination": "+880 1•••• ••23",    // already masked BY THE BACKEND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"resendAfterSeconds": 30</w:t>
      </w:r>
    </w:p>
    <w:p>
      <w:pPr>
        <w:spacing w:before="0" w:after="120" w:line="240" w:lineRule="auto"/>
        <w:ind w:left="144" w:right="29"/>
        <w:keepLines w:val="1"/>
        <w:shd w:val="clear" w:color="auto" w:fill="F4F6F8"/>
        <w:pBdr>
          <w:left w:val="single" w:sz="6" w:space="3" w:color="D5DBE1"/>
          <w:right w:val="single" w:sz="6" w:space="3" w:color="D5DBE1"/>
          <w:bottom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}</w:t>
      </w:r>
    </w:p>
    <w:p>
      <w:pPr>
        <w:pStyle w:val="Heading4"/>
      </w:pPr>
      <w:r>
        <w:rPr>
          <w:rFonts w:ascii="Consolas" w:hAnsi="Consolas" w:cs="Consolas"/>
          <w:b/>
          <w:color w:val="2E74B5"/>
          <w:sz w:val="19"/>
        </w:rPr>
        <w:t>POST /auth/verify-otp</w:t>
      </w:r>
    </w:p>
    <w:p>
      <w:r>
        <w:rPr>
          <w:rFonts w:ascii="Calibri" w:hAnsi="Calibri"/>
          <w:b/>
        </w:rPr>
        <w:t>Request</w:t>
      </w:r>
    </w:p>
    <w:p>
      <w:pPr>
        <w:spacing w:before="120" w:after="120" w:line="240" w:lineRule="auto"/>
        <w:ind w:left="144" w:right="29"/>
        <w:keepLines w:val="1"/>
        <w:shd w:val="clear" w:color="auto" w:fill="F4F6F8"/>
        <w:pBdr>
          <w:left w:val="single" w:sz="6" w:space="3" w:color="D5DBE1"/>
          <w:right w:val="single" w:sz="6" w:space="3" w:color="D5DBE1"/>
          <w:top w:val="single" w:sz="6" w:space="3" w:color="D5DBE1"/>
          <w:bottom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{ "otpToken": "opaque-challenge-token", "code": "135790" }</w:t>
      </w:r>
    </w:p>
    <w:p>
      <w:r>
        <w:rPr>
          <w:rFonts w:ascii="Calibri" w:hAnsi="Calibri"/>
          <w:b/>
        </w:rPr>
        <w:t>Response 200</w:t>
      </w:r>
    </w:p>
    <w:p>
      <w:pPr>
        <w:spacing w:before="12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  <w:top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{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"accessToken": "jwt...",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"refreshToken": "jwt...",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"expiresIn": 3600,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"user": {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"id": "sup-u-001",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"name": "Ahsan Kabir",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"email": "ahsan.kabir@dhakapackaging.com.bd",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"role": "supplier_admin",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"supplierId": "SP-2024-001",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"companyName": "Dhaka Packaging Industries Ltd.",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"initials": "AK"                       // optional; frontend derives if absent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}</w:t>
      </w:r>
    </w:p>
    <w:p>
      <w:pPr>
        <w:spacing w:before="0" w:after="120" w:line="240" w:lineRule="auto"/>
        <w:ind w:left="144" w:right="29"/>
        <w:keepLines w:val="1"/>
        <w:shd w:val="clear" w:color="auto" w:fill="F4F6F8"/>
        <w:pBdr>
          <w:left w:val="single" w:sz="6" w:space="3" w:color="D5DBE1"/>
          <w:right w:val="single" w:sz="6" w:space="3" w:color="D5DBE1"/>
          <w:bottom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}</w:t>
      </w:r>
    </w:p>
    <w:p>
      <w:r>
        <w:rPr>
          <w:rFonts w:ascii="Calibri" w:hAnsi="Calibri"/>
          <w:b/>
        </w:rPr>
        <w:t>Response 401</w:t>
      </w:r>
      <w:r>
        <w:rPr>
          <w:rFonts w:ascii="Calibri" w:hAnsi="Calibri"/>
        </w:rPr>
        <w:t xml:space="preserve"> on a wrong code:</w:t>
      </w:r>
    </w:p>
    <w:p>
      <w:pPr>
        <w:spacing w:before="12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  <w:top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{ "error": { "code": "OTP_INVALID", "message": "Incorrect code.",</w:t>
      </w:r>
    </w:p>
    <w:p>
      <w:pPr>
        <w:spacing w:before="0" w:after="120" w:line="240" w:lineRule="auto"/>
        <w:ind w:left="144" w:right="29"/>
        <w:keepLines w:val="1"/>
        <w:shd w:val="clear" w:color="auto" w:fill="F4F6F8"/>
        <w:pBdr>
          <w:left w:val="single" w:sz="6" w:space="3" w:color="D5DBE1"/>
          <w:right w:val="single" w:sz="6" w:space="3" w:color="D5DBE1"/>
          <w:bottom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         "attemptsRemaining": 2, "locked": false } }</w:t>
      </w:r>
    </w:p>
    <w:p>
      <w:r>
        <w:rPr>
          <w:rFonts w:ascii="Calibri" w:hAnsi="Calibri"/>
        </w:rPr>
        <w:t xml:space="preserve">The UI locks the form after 3 failed attempts. </w:t>
      </w:r>
      <w:r>
        <w:rPr>
          <w:rFonts w:ascii="Consolas" w:hAnsi="Consolas" w:cs="Consolas"/>
          <w:color w:val="A82C4A"/>
          <w:sz w:val="18"/>
        </w:rPr>
        <w:t>attemptsRemaining</w:t>
      </w:r>
      <w:r>
        <w:rPr>
          <w:rFonts w:ascii="Calibri" w:hAnsi="Calibri"/>
        </w:rPr>
        <w:t xml:space="preserve"> and </w:t>
      </w:r>
      <w:r>
        <w:rPr>
          <w:rFonts w:ascii="Consolas" w:hAnsi="Consolas" w:cs="Consolas"/>
          <w:color w:val="A82C4A"/>
          <w:sz w:val="18"/>
        </w:rPr>
        <w:t>locked</w:t>
      </w:r>
      <w:r>
        <w:rPr>
          <w:rFonts w:ascii="Calibri" w:hAnsi="Calibri"/>
        </w:rPr>
        <w:t xml:space="preserve"> must come from the server — the current client-side counter is demo-only.</w:t>
      </w:r>
    </w:p>
    <w:p>
      <w:pPr>
        <w:pStyle w:val="Heading4"/>
      </w:pPr>
      <w:r>
        <w:rPr>
          <w:rFonts w:ascii="Consolas" w:hAnsi="Consolas" w:cs="Consolas"/>
          <w:b/>
          <w:color w:val="2E74B5"/>
          <w:sz w:val="19"/>
        </w:rPr>
        <w:t>POST /auth/resend-otp</w:t>
      </w:r>
      <w:r>
        <w:rPr>
          <w:rFonts w:ascii="Calibri" w:hAnsi="Calibri"/>
          <w:b/>
          <w:color w:val="2E74B5"/>
          <w:sz w:val="22"/>
        </w:rPr>
        <w:t xml:space="preserve"> → </w:t>
      </w:r>
      <w:r>
        <w:rPr>
          <w:rFonts w:ascii="Consolas" w:hAnsi="Consolas" w:cs="Consolas"/>
          <w:b/>
          <w:color w:val="2E74B5"/>
          <w:sz w:val="19"/>
        </w:rPr>
        <w:t>{ "otpToken": "...", "resendAfterSeconds": 30 }</w:t>
      </w:r>
    </w:p>
    <w:p>
      <w:pPr>
        <w:pStyle w:val="Heading4"/>
      </w:pPr>
      <w:r>
        <w:rPr>
          <w:rFonts w:ascii="Consolas" w:hAnsi="Consolas" w:cs="Consolas"/>
          <w:b/>
          <w:color w:val="2E74B5"/>
          <w:sz w:val="19"/>
        </w:rPr>
        <w:t>GET /me</w:t>
      </w:r>
    </w:p>
    <w:p>
      <w:r>
        <w:rPr>
          <w:rFonts w:ascii="Calibri" w:hAnsi="Calibri"/>
        </w:rPr>
        <w:t xml:space="preserve">Returns the same </w:t>
      </w:r>
      <w:r>
        <w:rPr>
          <w:rFonts w:ascii="Consolas" w:hAnsi="Consolas" w:cs="Consolas"/>
          <w:color w:val="A82C4A"/>
          <w:sz w:val="18"/>
        </w:rPr>
        <w:t>user</w:t>
      </w:r>
      <w:r>
        <w:rPr>
          <w:rFonts w:ascii="Calibri" w:hAnsi="Calibri"/>
        </w:rPr>
        <w:t xml:space="preserve"> object as above. Called on app boot to restore the session.</w:t>
      </w:r>
    </w:p>
    <w:p>
      <w:pPr>
        <w:spacing w:before="80" w:after="200"/>
        <w:pBdr>
          <w:bottom w:val="single" w:sz="6" w:space="1" w:color="DCE3EA"/>
        </w:pBdr>
      </w:pPr>
    </w:p>
    <w:p>
      <w:pPr>
        <w:pStyle w:val="Heading3"/>
      </w:pPr>
      <w:r>
        <w:rPr>
          <w:rFonts w:ascii="Calibri" w:hAnsi="Calibri"/>
          <w:b/>
          <w:color w:val="2E74B5"/>
          <w:sz w:val="25"/>
        </w:rPr>
        <w:t xml:space="preserve">1. Dashboard — </w:t>
      </w:r>
      <w:r>
        <w:rPr>
          <w:rFonts w:ascii="Consolas" w:hAnsi="Consolas" w:cs="Consolas"/>
          <w:b/>
          <w:color w:val="2E74B5"/>
          <w:sz w:val="22"/>
        </w:rPr>
        <w:t>/app</w:t>
      </w:r>
    </w:p>
    <w:p>
      <w:r>
        <w:rPr>
          <w:rFonts w:ascii="Calibri" w:hAnsi="Calibri"/>
          <w:b/>
        </w:rPr>
        <w:t>Open screen:</w:t>
      </w:r>
      <w:r>
        <w:rPr>
          <w:rFonts w:ascii="Calibri" w:hAnsi="Calibri"/>
        </w:rPr>
        <w:t xml:space="preserve"> </w:t>
      </w:r>
      <w:hyperlink r:id="rId12">
        <w:r>
          <w:rPr>
            <w:rFonts w:ascii="Calibri" w:hAnsi="Calibri" w:cs="Calibri"/>
            <w:color w:val="0B5CAB"/>
            <w:u w:val="single"/>
          </w:rPr>
          <w:t xml:space="preserve">Dashboard</w:t>
        </w:r>
      </w:hyperlink>
    </w:p>
    <w:p>
      <w:r>
        <w:rPr>
          <w:rFonts w:ascii="Calibri" w:hAnsi="Calibri"/>
        </w:rPr>
        <w:t>The single heaviest screen. It renders four KPI tiles, three charts, and three "latest" lists.</w:t>
      </w:r>
    </w:p>
    <w:p>
      <w:pPr>
        <w:pStyle w:val="Heading4"/>
      </w:pPr>
      <w:r>
        <w:rPr>
          <w:rFonts w:ascii="Consolas" w:hAnsi="Consolas" w:cs="Consolas"/>
          <w:b/>
          <w:color w:val="2E74B5"/>
          <w:sz w:val="19"/>
        </w:rPr>
        <w:t>GET /dashboard/kpi</w:t>
      </w:r>
    </w:p>
    <w:p>
      <w:r>
        <w:rPr>
          <w:rFonts w:ascii="Calibri" w:hAnsi="Calibri"/>
        </w:rPr>
        <w:t xml:space="preserve">Everything here is </w:t>
      </w:r>
      <w:r>
        <w:rPr>
          <w:rFonts w:ascii="Calibri" w:hAnsi="Calibri"/>
          <w:b/>
        </w:rPr>
        <w:t>pre-aggregated server-side</w:t>
      </w:r>
      <w:r>
        <w:rPr>
          <w:rFonts w:ascii="Calibri" w:hAnsi="Calibri"/>
        </w:rPr>
        <w:t>. Do not expect the frontend to compute it.</w:t>
      </w:r>
    </w:p>
    <w:p>
      <w:r>
        <w:rPr>
          <w:rFonts w:ascii="Calibri" w:hAnsi="Calibri"/>
          <w:b/>
        </w:rPr>
        <w:t>Response 200</w:t>
      </w:r>
    </w:p>
    <w:p>
      <w:pPr>
        <w:spacing w:before="12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  <w:top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{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"activePOs": 12,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"pendingInvoices": 5,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"openBids": 3,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"overdueInvoices": 2,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 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"totalReceivedYTD": 48250000,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"totalReceivedMTD": 6120000,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"totalReceivedLastMonth": 5480000,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"duePaymentAmount": 9340000,     // sum of totalAmount for invoices in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6A8263"/>
          <w:sz w:val="17"/>
        </w:rPr>
        <w:t xml:space="preserve">                                   // submitted | under_review | approved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"growthPct": 12.4,               // headline % on the Transactions card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 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"deliveriesThisMonth": 34,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"deliveryChangePct": 8.2,        // vs last month; may be negative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 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6A8263"/>
          <w:sz w:val="17"/>
        </w:rPr>
        <w:t xml:space="preserve">  // Payment trend chart — 12 entries, oldest first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"monthlyPaymentTrend": [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{ "month": "Sep", "paid": 4200000, "lastYear": 3800000 }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],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 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6A8263"/>
          <w:sz w:val="17"/>
        </w:rPr>
        <w:t xml:space="preserve">  // Donut chart. `label` and `color` are presentation — send them, or tell us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6A8263"/>
          <w:sz w:val="17"/>
        </w:rPr>
        <w:t xml:space="preserve">  // and we will hard-code them on the frontend instead.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"invoiceStatusBreakdown": [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{ "status": "paid", "label": "Paid", "count": 18, "color": "#22c55e" }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],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 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6A8263"/>
          <w:sz w:val="17"/>
        </w:rPr>
        <w:t xml:space="preserve">  // On-time vs late deliveries per month. Also feeds the Reports on-time rate.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"deliveryPerformance": [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{ "month": "Sep", "onTime": 11, "late": 2 }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],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 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6A8263"/>
          <w:sz w:val="17"/>
        </w:rPr>
        <w:t xml:space="preserve">  // Performance chart: orders raised vs deliveries completed, per month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"monthlyOrderDelivery": [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{ "month": "Sep", "order": 14, "delivery": 12 }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],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 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6A8263"/>
          <w:sz w:val="17"/>
        </w:rPr>
        <w:t xml:space="preserve">  // Delivery Statistics chart: day-by-day for the selected month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"dailyDeliveryStats": [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{ "day": "01", "ordered": 3, "delivered": 2 }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],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 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6A8263"/>
          <w:sz w:val="17"/>
        </w:rPr>
        <w:t xml:space="preserve">  // Trailing 7 days behind the three summary tiles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"weeklyBreakdown": [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{ "day": 1, "orders": 4, "deliveries": 3, "payments": 2 }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],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"monthTotals": { "orders": 42, "deliveries": 38, "payments": 21 },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 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"recentActivity": [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{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  "id": "act-001",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  "type": "po_issued",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  "description": "PO-2026-0014 issued by Feed Mill Division",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  "timestamp": "2026-08-14T09:30:00.000Z",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  "link": "/app/purchase-orders/po-014"   // optional, frontend route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}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]</w:t>
      </w:r>
    </w:p>
    <w:p>
      <w:pPr>
        <w:spacing w:before="0" w:after="12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  <w:bottom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}</w:t>
      </w:r>
    </w:p>
    <w:p>
      <w:r>
        <w:rPr>
          <w:rFonts w:ascii="Calibri" w:hAnsi="Calibri"/>
          <w:b/>
        </w:rPr>
        <w:t>Open questions for you:</w:t>
      </w:r>
    </w:p>
    <w:p>
      <w:pPr>
        <w:spacing w:after="60"/>
        <w:ind w:left="605" w:hanging="317"/>
        <w:tabs>
          <w:tab w:val="left" w:pos="604"/>
        </w:tabs>
      </w:pPr>
      <w:r>
        <w:rPr>
          <w:rFonts w:ascii="Calibri" w:hAnsi="Calibri"/>
          <w:b w:val="0"/>
        </w:rPr>
        <w:t>•</w:t>
        <w:tab/>
      </w:r>
      <w:r>
        <w:rPr>
          <w:rFonts w:ascii="Calibri" w:hAnsi="Calibri"/>
        </w:rPr>
        <w:t xml:space="preserve">The dashboard has year/month dropdowns for the Performance and Delivery Statistics charts. Right now they filter client-side. If you'd rather filter server-side, add </w:t>
      </w:r>
      <w:r>
        <w:rPr>
          <w:rFonts w:ascii="Consolas" w:hAnsi="Consolas" w:cs="Consolas"/>
          <w:color w:val="A82C4A"/>
          <w:sz w:val="18"/>
        </w:rPr>
        <w:t>?year=2026&amp;month=08</w:t>
      </w:r>
      <w:r>
        <w:rPr>
          <w:rFonts w:ascii="Calibri" w:hAnsi="Calibri"/>
        </w:rPr>
        <w:t xml:space="preserve"> query params to this endpoint and we'll wire them up.</w:t>
      </w:r>
    </w:p>
    <w:p>
      <w:pPr>
        <w:spacing w:after="60"/>
        <w:ind w:left="605" w:hanging="317"/>
        <w:tabs>
          <w:tab w:val="left" w:pos="604"/>
        </w:tabs>
      </w:pPr>
      <w:r>
        <w:rPr>
          <w:rFonts w:ascii="Calibri" w:hAnsi="Calibri"/>
          <w:b w:val="0"/>
        </w:rPr>
        <w:t>•</w:t>
        <w:tab/>
      </w:r>
      <w:r>
        <w:rPr>
          <w:rFonts w:ascii="Consolas" w:hAnsi="Consolas" w:cs="Consolas"/>
          <w:color w:val="A82C4A"/>
          <w:sz w:val="18"/>
        </w:rPr>
        <w:t>link</w:t>
      </w:r>
      <w:r>
        <w:rPr>
          <w:rFonts w:ascii="Calibri" w:hAnsi="Calibri"/>
        </w:rPr>
        <w:t xml:space="preserve"> in </w:t>
      </w:r>
      <w:r>
        <w:rPr>
          <w:rFonts w:ascii="Consolas" w:hAnsi="Consolas" w:cs="Consolas"/>
          <w:color w:val="A82C4A"/>
          <w:sz w:val="18"/>
        </w:rPr>
        <w:t>recentActivity</w:t>
      </w:r>
      <w:r>
        <w:rPr>
          <w:rFonts w:ascii="Calibri" w:hAnsi="Calibri"/>
        </w:rPr>
        <w:t xml:space="preserve"> is a </w:t>
      </w:r>
      <w:r>
        <w:rPr>
          <w:rFonts w:ascii="Calibri" w:hAnsi="Calibri"/>
          <w:b/>
        </w:rPr>
        <w:t>frontend route path</w:t>
      </w:r>
      <w:r>
        <w:rPr>
          <w:rFonts w:ascii="Calibri" w:hAnsi="Calibri"/>
        </w:rPr>
        <w:t xml:space="preserve">. If that's awkward, send </w:t>
      </w:r>
      <w:r>
        <w:rPr>
          <w:rFonts w:ascii="Consolas" w:hAnsi="Consolas" w:cs="Consolas"/>
          <w:color w:val="A82C4A"/>
          <w:sz w:val="18"/>
        </w:rPr>
        <w:t>{ "entityType": "purchase_order", "entityId": "po-014" }</w:t>
      </w:r>
      <w:r>
        <w:rPr>
          <w:rFonts w:ascii="Calibri" w:hAnsi="Calibri"/>
        </w:rPr>
        <w:t xml:space="preserve"> instead and we'll build the path.</w:t>
      </w:r>
    </w:p>
    <w:p>
      <w:r>
        <w:rPr>
          <w:rFonts w:ascii="Calibri" w:hAnsi="Calibri"/>
        </w:rPr>
        <w:t xml:space="preserve">The dashboard also calls </w:t>
      </w:r>
      <w:r>
        <w:rPr>
          <w:rFonts w:ascii="Consolas" w:hAnsi="Consolas" w:cs="Consolas"/>
          <w:color w:val="A82C4A"/>
          <w:sz w:val="18"/>
        </w:rPr>
        <w:t>GET /purchase-orders</w:t>
      </w:r>
      <w:r>
        <w:rPr>
          <w:rFonts w:ascii="Calibri" w:hAnsi="Calibri"/>
        </w:rPr>
        <w:t xml:space="preserve">, </w:t>
      </w:r>
      <w:r>
        <w:rPr>
          <w:rFonts w:ascii="Consolas" w:hAnsi="Consolas" w:cs="Consolas"/>
          <w:color w:val="A82C4A"/>
          <w:sz w:val="18"/>
        </w:rPr>
        <w:t>GET /invoices</w:t>
      </w:r>
      <w:r>
        <w:rPr>
          <w:rFonts w:ascii="Calibri" w:hAnsi="Calibri"/>
        </w:rPr>
        <w:t xml:space="preserve">, and </w:t>
      </w:r>
      <w:r>
        <w:rPr>
          <w:rFonts w:ascii="Consolas" w:hAnsi="Consolas" w:cs="Consolas"/>
          <w:color w:val="A82C4A"/>
          <w:sz w:val="18"/>
        </w:rPr>
        <w:t>GET /tenders?status=published</w:t>
      </w:r>
      <w:r>
        <w:rPr>
          <w:rFonts w:ascii="Calibri" w:hAnsi="Calibri"/>
        </w:rPr>
        <w:t xml:space="preserve"> to show the five most recent of each. Those use the standard list contracts below.</w:t>
      </w:r>
    </w:p>
    <w:p>
      <w:pPr>
        <w:spacing w:before="80" w:after="200"/>
        <w:pBdr>
          <w:bottom w:val="single" w:sz="6" w:space="1" w:color="DCE3EA"/>
        </w:pBdr>
      </w:pPr>
    </w:p>
    <w:p>
      <w:pPr>
        <w:pStyle w:val="Heading3"/>
      </w:pPr>
      <w:r>
        <w:rPr>
          <w:rFonts w:ascii="Calibri" w:hAnsi="Calibri"/>
          <w:b/>
          <w:color w:val="2E74B5"/>
          <w:sz w:val="25"/>
        </w:rPr>
        <w:t xml:space="preserve">2. Tenders list — </w:t>
      </w:r>
      <w:r>
        <w:rPr>
          <w:rFonts w:ascii="Consolas" w:hAnsi="Consolas" w:cs="Consolas"/>
          <w:b/>
          <w:color w:val="2E74B5"/>
          <w:sz w:val="22"/>
        </w:rPr>
        <w:t>/app/tenders</w:t>
      </w:r>
    </w:p>
    <w:p>
      <w:r>
        <w:rPr>
          <w:rFonts w:ascii="Calibri" w:hAnsi="Calibri"/>
          <w:b/>
        </w:rPr>
        <w:t>Open screen:</w:t>
      </w:r>
      <w:r>
        <w:rPr>
          <w:rFonts w:ascii="Calibri" w:hAnsi="Calibri"/>
        </w:rPr>
        <w:t xml:space="preserve"> </w:t>
      </w:r>
      <w:hyperlink r:id="rId13">
        <w:r>
          <w:rPr>
            <w:rFonts w:ascii="Calibri" w:hAnsi="Calibri" w:cs="Calibri"/>
            <w:color w:val="0B5CAB"/>
            <w:u w:val="single"/>
          </w:rPr>
          <w:t xml:space="preserve">Tenders list</w:t>
        </w:r>
      </w:hyperlink>
    </w:p>
    <w:p>
      <w:pPr>
        <w:pStyle w:val="Heading4"/>
      </w:pPr>
      <w:r>
        <w:rPr>
          <w:rFonts w:ascii="Consolas" w:hAnsi="Consolas" w:cs="Consolas"/>
          <w:b/>
          <w:color w:val="2E74B5"/>
          <w:sz w:val="19"/>
        </w:rPr>
        <w:t>GET /tenders?status={TenderStatus|all}&amp;search={string}</w:t>
      </w:r>
    </w:p>
    <w:p>
      <w:r>
        <w:rPr>
          <w:rFonts w:ascii="Consolas" w:hAnsi="Consolas" w:cs="Consolas"/>
          <w:color w:val="A82C4A"/>
          <w:sz w:val="18"/>
        </w:rPr>
        <w:t>search</w:t>
      </w:r>
      <w:r>
        <w:rPr>
          <w:rFonts w:ascii="Calibri" w:hAnsi="Calibri"/>
        </w:rPr>
        <w:t xml:space="preserve"> matches tender number, title, or category. Sorted by </w:t>
      </w:r>
      <w:r>
        <w:rPr>
          <w:rFonts w:ascii="Consolas" w:hAnsi="Consolas" w:cs="Consolas"/>
          <w:color w:val="A82C4A"/>
          <w:sz w:val="18"/>
        </w:rPr>
        <w:t>publishedDate</w:t>
      </w:r>
      <w:r>
        <w:rPr>
          <w:rFonts w:ascii="Calibri" w:hAnsi="Calibri"/>
        </w:rPr>
        <w:t xml:space="preserve"> descending.</w:t>
      </w:r>
    </w:p>
    <w:p>
      <w:r>
        <w:rPr>
          <w:rFonts w:ascii="Calibri" w:hAnsi="Calibri"/>
          <w:b/>
        </w:rPr>
        <w:t>Response 200</w:t>
      </w:r>
      <w:r>
        <w:rPr>
          <w:rFonts w:ascii="Calibri" w:hAnsi="Calibri"/>
        </w:rPr>
        <w:t xml:space="preserve"> — array of tender objects. The list view uses only these fields, but the same shape as the detail is fine:</w:t>
      </w:r>
    </w:p>
    <w:p>
      <w:pPr>
        <w:spacing w:before="12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  <w:top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[{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"id": "tnd-001",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"tenderNumber": "TND-2026-0007",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"title": "Supply of Corrugated Packaging Cartons",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"category": "Packaging",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"buyerDepartment": "Feed Mill Division",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"publishedDate": "2026-07-20T00:00:00.000Z",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"submissionDeadline": "2026-08-30T17:00:00.000Z",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"estimatedValue": 8500000,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"status": "published"</w:t>
      </w:r>
    </w:p>
    <w:p>
      <w:pPr>
        <w:spacing w:before="0" w:after="120" w:line="240" w:lineRule="auto"/>
        <w:ind w:left="144" w:right="29"/>
        <w:keepLines w:val="1"/>
        <w:shd w:val="clear" w:color="auto" w:fill="F4F6F8"/>
        <w:pBdr>
          <w:left w:val="single" w:sz="6" w:space="3" w:color="D5DBE1"/>
          <w:right w:val="single" w:sz="6" w:space="3" w:color="D5DBE1"/>
          <w:bottom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}]</w:t>
      </w:r>
    </w:p>
    <w:p>
      <w:r>
        <w:rPr>
          <w:rFonts w:ascii="Calibri" w:hAnsi="Calibri"/>
        </w:rPr>
        <w:t xml:space="preserve">This screen also calls </w:t>
      </w:r>
      <w:r>
        <w:rPr>
          <w:rFonts w:ascii="Consolas" w:hAnsi="Consolas" w:cs="Consolas"/>
          <w:color w:val="A82C4A"/>
          <w:sz w:val="18"/>
        </w:rPr>
        <w:t>GET /bids</w:t>
      </w:r>
      <w:r>
        <w:rPr>
          <w:rFonts w:ascii="Calibri" w:hAnsi="Calibri"/>
        </w:rPr>
        <w:t xml:space="preserve"> to show whether the supplier has already bid on each tender (matched on </w:t>
      </w:r>
      <w:r>
        <w:rPr>
          <w:rFonts w:ascii="Consolas" w:hAnsi="Consolas" w:cs="Consolas"/>
          <w:color w:val="A82C4A"/>
          <w:sz w:val="18"/>
        </w:rPr>
        <w:t>bid.tenderId</w:t>
      </w:r>
      <w:r>
        <w:rPr>
          <w:rFonts w:ascii="Calibri" w:hAnsi="Calibri"/>
        </w:rPr>
        <w:t>).</w:t>
      </w:r>
    </w:p>
    <w:p>
      <w:pPr>
        <w:spacing w:before="80" w:after="200"/>
        <w:pBdr>
          <w:bottom w:val="single" w:sz="6" w:space="1" w:color="DCE3EA"/>
        </w:pBdr>
      </w:pPr>
    </w:p>
    <w:p>
      <w:pPr>
        <w:pStyle w:val="Heading3"/>
      </w:pPr>
      <w:r>
        <w:rPr>
          <w:rFonts w:ascii="Calibri" w:hAnsi="Calibri"/>
          <w:b/>
          <w:color w:val="2E74B5"/>
          <w:sz w:val="25"/>
        </w:rPr>
        <w:t xml:space="preserve">3. Tender detail — </w:t>
      </w:r>
      <w:r>
        <w:rPr>
          <w:rFonts w:ascii="Consolas" w:hAnsi="Consolas" w:cs="Consolas"/>
          <w:b/>
          <w:color w:val="2E74B5"/>
          <w:sz w:val="22"/>
        </w:rPr>
        <w:t>/app/tenders/{id}</w:t>
      </w:r>
    </w:p>
    <w:p>
      <w:r>
        <w:rPr>
          <w:rFonts w:ascii="Calibri" w:hAnsi="Calibri"/>
          <w:b/>
        </w:rPr>
        <w:t>Open screen:</w:t>
      </w:r>
      <w:r>
        <w:rPr>
          <w:rFonts w:ascii="Calibri" w:hAnsi="Calibri"/>
        </w:rPr>
        <w:t xml:space="preserve"> </w:t>
      </w:r>
      <w:hyperlink r:id="rId14">
        <w:r>
          <w:rPr>
            <w:rFonts w:ascii="Calibri" w:hAnsi="Calibri" w:cs="Calibri"/>
            <w:color w:val="0B5CAB"/>
            <w:u w:val="single"/>
          </w:rPr>
          <w:t xml:space="preserve">Tender detail (tnd-002 — published, bid already placed)</w:t>
        </w:r>
      </w:hyperlink>
    </w:p>
    <w:p>
      <w:pPr>
        <w:pStyle w:val="Heading4"/>
      </w:pPr>
      <w:r>
        <w:rPr>
          <w:rFonts w:ascii="Consolas" w:hAnsi="Consolas" w:cs="Consolas"/>
          <w:b/>
          <w:color w:val="2E74B5"/>
          <w:sz w:val="19"/>
        </w:rPr>
        <w:t>GET /tenders/{id}</w:t>
      </w:r>
    </w:p>
    <w:p>
      <w:r>
        <w:rPr>
          <w:rFonts w:ascii="Calibri" w:hAnsi="Calibri"/>
          <w:b/>
        </w:rPr>
        <w:t>Response 200</w:t>
      </w:r>
    </w:p>
    <w:p>
      <w:pPr>
        <w:spacing w:before="12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  <w:top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{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"id": "tnd-001",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"tenderNumber": "TND-2026-0007",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"title": "Supply of Corrugated Packaging Cartons",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"category": "Packaging",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"description": "Full scope narrative, plain text.",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"buyerDepartment": "Feed Mill Division",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"buyerContactName": "Nusrat Jahan",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"buyerContactEmail": "nusrat.jahan@kazifarms.com",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"publishedDate": "2026-07-20T00:00:00.000Z",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"submissionDeadline": "2026-08-30T17:00:00.000Z",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"bidOpeningDate": "2026-09-02T11:00:00.000Z",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"estimatedValue": 8500000,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 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"items": [{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"id": "tli-001",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"description": "5-ply corrugated carton, 40x30x25 cm",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"specification": "180 GSM kraft liner, printed 2-colour",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"unit": "pcs",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"quantity": 50000,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"estimatedUnitPrice": 34,      // buyer's indicative rate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"vdsApplicable": true,         // VAT deducted at source on this line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"tdsApplicable": true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}],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 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"eligibilityCriteria": [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"Minimum 3 years of packaging supply experience",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"Valid BSTI certification"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],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"termsAndConditions": [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"Delivery within 45 days of PO issue"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],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"requiredDocuments": ["trade_license", "vat_registration", "iso_certification"],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 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"status": "published",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 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"clarifications": [{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"id": "tc-001",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"question": "Is single-colour printing acceptable?",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"askedBy": "Ahsan Kabir",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"askedAt": "2026-07-25T10:12:00.000Z",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"response": "Yes, single colour is acceptable.",   // optional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"respondedBy": "Nusrat Jahan",                     // optional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"respondedAt": "2026-07-26T09:00:00.000Z"          // optional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}],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 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"awardedSupplierName": "Dhaka Packaging Industries Ltd.",  // only when status=awarded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"awardedAt": "2026-09-10T00:00:00.000Z",                   // only when status=awarded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"cancelReason": "Requirement withdrawn"                     // only when status=cancelled</w:t>
      </w:r>
    </w:p>
    <w:p>
      <w:pPr>
        <w:spacing w:before="0" w:after="12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  <w:bottom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}</w:t>
      </w:r>
    </w:p>
    <w:p>
      <w:r>
        <w:rPr>
          <w:rFonts w:ascii="Consolas" w:hAnsi="Consolas" w:cs="Consolas"/>
          <w:color w:val="A82C4A"/>
          <w:sz w:val="18"/>
        </w:rPr>
        <w:t>eligibilityCriteria</w:t>
      </w:r>
      <w:r>
        <w:rPr>
          <w:rFonts w:ascii="Calibri" w:hAnsi="Calibri"/>
        </w:rPr>
        <w:t xml:space="preserve"> and </w:t>
      </w:r>
      <w:r>
        <w:rPr>
          <w:rFonts w:ascii="Consolas" w:hAnsi="Consolas" w:cs="Consolas"/>
          <w:color w:val="A82C4A"/>
          <w:sz w:val="18"/>
        </w:rPr>
        <w:t>termsAndConditions</w:t>
      </w:r>
      <w:r>
        <w:rPr>
          <w:rFonts w:ascii="Calibri" w:hAnsi="Calibri"/>
        </w:rPr>
        <w:t xml:space="preserve"> are </w:t>
      </w:r>
      <w:r>
        <w:rPr>
          <w:rFonts w:ascii="Calibri" w:hAnsi="Calibri"/>
          <w:b/>
        </w:rPr>
        <w:t>arrays of strings</w:t>
      </w:r>
      <w:r>
        <w:rPr>
          <w:rFonts w:ascii="Calibri" w:hAnsi="Calibri"/>
        </w:rPr>
        <w:t>, one bullet per element — not one blob with newlines.</w:t>
      </w:r>
    </w:p>
    <w:p>
      <w:r>
        <w:rPr>
          <w:rFonts w:ascii="Calibri" w:hAnsi="Calibri"/>
        </w:rPr>
        <w:t xml:space="preserve">The screen cross-references </w:t>
      </w:r>
      <w:r>
        <w:rPr>
          <w:rFonts w:ascii="Consolas" w:hAnsi="Consolas" w:cs="Consolas"/>
          <w:color w:val="A82C4A"/>
          <w:sz w:val="18"/>
        </w:rPr>
        <w:t>GET /documents</w:t>
      </w:r>
      <w:r>
        <w:rPr>
          <w:rFonts w:ascii="Calibri" w:hAnsi="Calibri"/>
        </w:rPr>
        <w:t xml:space="preserve"> against </w:t>
      </w:r>
      <w:r>
        <w:rPr>
          <w:rFonts w:ascii="Consolas" w:hAnsi="Consolas" w:cs="Consolas"/>
          <w:color w:val="A82C4A"/>
          <w:sz w:val="18"/>
        </w:rPr>
        <w:t>requiredDocuments</w:t>
      </w:r>
      <w:r>
        <w:rPr>
          <w:rFonts w:ascii="Calibri" w:hAnsi="Calibri"/>
        </w:rPr>
        <w:t xml:space="preserve"> to show the supplier which compliance docs they are missing before bidding.</w:t>
      </w:r>
    </w:p>
    <w:p>
      <w:pPr>
        <w:pStyle w:val="Heading4"/>
      </w:pPr>
      <w:r>
        <w:rPr>
          <w:rFonts w:ascii="Consolas" w:hAnsi="Consolas" w:cs="Consolas"/>
          <w:b/>
          <w:color w:val="2E74B5"/>
          <w:sz w:val="19"/>
        </w:rPr>
        <w:t>GET /tenders/{id}/bid</w:t>
      </w:r>
    </w:p>
    <w:p>
      <w:r>
        <w:rPr>
          <w:rFonts w:ascii="Calibri" w:hAnsi="Calibri"/>
        </w:rPr>
        <w:t xml:space="preserve">Returns this supplier's bid on this tender, or </w:t>
      </w:r>
      <w:r>
        <w:rPr>
          <w:rFonts w:ascii="Consolas" w:hAnsi="Consolas" w:cs="Consolas"/>
          <w:color w:val="A82C4A"/>
          <w:sz w:val="18"/>
        </w:rPr>
        <w:t>null</w:t>
      </w:r>
      <w:r>
        <w:rPr>
          <w:rFonts w:ascii="Calibri" w:hAnsi="Calibri"/>
        </w:rPr>
        <w:t xml:space="preserve"> (HTTP 200 with body </w:t>
      </w:r>
      <w:r>
        <w:rPr>
          <w:rFonts w:ascii="Consolas" w:hAnsi="Consolas" w:cs="Consolas"/>
          <w:color w:val="A82C4A"/>
          <w:sz w:val="18"/>
        </w:rPr>
        <w:t>null</w:t>
      </w:r>
      <w:r>
        <w:rPr>
          <w:rFonts w:ascii="Calibri" w:hAnsi="Calibri"/>
        </w:rPr>
        <w:t>, not 404) if they have not bid. Same shape as the Bid object in §6.</w:t>
      </w:r>
    </w:p>
    <w:p>
      <w:pPr>
        <w:pStyle w:val="Heading4"/>
      </w:pPr>
      <w:r>
        <w:rPr>
          <w:rFonts w:ascii="Consolas" w:hAnsi="Consolas" w:cs="Consolas"/>
          <w:b/>
          <w:color w:val="2E74B5"/>
          <w:sz w:val="19"/>
        </w:rPr>
        <w:t>POST /tenders/{id}/clarifications</w:t>
      </w:r>
    </w:p>
    <w:p>
      <w:r>
        <w:rPr>
          <w:rFonts w:ascii="Calibri" w:hAnsi="Calibri"/>
          <w:b/>
        </w:rPr>
        <w:t>Request</w:t>
      </w:r>
    </w:p>
    <w:p>
      <w:pPr>
        <w:spacing w:before="120" w:after="120" w:line="240" w:lineRule="auto"/>
        <w:ind w:left="144" w:right="29"/>
        <w:keepLines w:val="1"/>
        <w:shd w:val="clear" w:color="auto" w:fill="F4F6F8"/>
        <w:pBdr>
          <w:left w:val="single" w:sz="6" w:space="3" w:color="D5DBE1"/>
          <w:right w:val="single" w:sz="6" w:space="3" w:color="D5DBE1"/>
          <w:top w:val="single" w:sz="6" w:space="3" w:color="D5DBE1"/>
          <w:bottom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{ "question": "Is single-colour printing acceptable?" }</w:t>
      </w:r>
    </w:p>
    <w:p>
      <w:r>
        <w:rPr>
          <w:rFonts w:ascii="Calibri" w:hAnsi="Calibri"/>
          <w:b/>
        </w:rPr>
        <w:t>Response 200</w:t>
      </w:r>
      <w:r>
        <w:rPr>
          <w:rFonts w:ascii="Calibri" w:hAnsi="Calibri"/>
        </w:rPr>
        <w:t xml:space="preserve"> — the full updated Tender object (with the new clarification appended). </w:t>
      </w:r>
      <w:r>
        <w:rPr>
          <w:rFonts w:ascii="Consolas" w:hAnsi="Consolas" w:cs="Consolas"/>
          <w:color w:val="A82C4A"/>
          <w:sz w:val="18"/>
        </w:rPr>
        <w:t>askedBy</w:t>
      </w:r>
      <w:r>
        <w:rPr>
          <w:rFonts w:ascii="Calibri" w:hAnsi="Calibri"/>
        </w:rPr>
        <w:t xml:space="preserve"> and </w:t>
      </w:r>
      <w:r>
        <w:rPr>
          <w:rFonts w:ascii="Consolas" w:hAnsi="Consolas" w:cs="Consolas"/>
          <w:color w:val="A82C4A"/>
          <w:sz w:val="18"/>
        </w:rPr>
        <w:t>askedAt</w:t>
      </w:r>
      <w:r>
        <w:rPr>
          <w:rFonts w:ascii="Calibri" w:hAnsi="Calibri"/>
        </w:rPr>
        <w:t xml:space="preserve"> are set server-side from the token.</w:t>
      </w:r>
    </w:p>
    <w:p>
      <w:pPr>
        <w:spacing w:before="80" w:after="200"/>
        <w:pBdr>
          <w:bottom w:val="single" w:sz="6" w:space="1" w:color="DCE3EA"/>
        </w:pBdr>
      </w:pPr>
    </w:p>
    <w:p>
      <w:pPr>
        <w:pStyle w:val="Heading3"/>
      </w:pPr>
      <w:r>
        <w:rPr>
          <w:rFonts w:ascii="Calibri" w:hAnsi="Calibri"/>
          <w:b/>
          <w:color w:val="2E74B5"/>
          <w:sz w:val="25"/>
        </w:rPr>
        <w:t xml:space="preserve">4. Submit bid — </w:t>
      </w:r>
      <w:r>
        <w:rPr>
          <w:rFonts w:ascii="Consolas" w:hAnsi="Consolas" w:cs="Consolas"/>
          <w:b/>
          <w:color w:val="2E74B5"/>
          <w:sz w:val="22"/>
        </w:rPr>
        <w:t>/app/tenders/{id}/bid</w:t>
      </w:r>
    </w:p>
    <w:p>
      <w:r>
        <w:rPr>
          <w:rFonts w:ascii="Calibri" w:hAnsi="Calibri"/>
          <w:b/>
        </w:rPr>
        <w:t>Open screen:</w:t>
      </w:r>
      <w:r>
        <w:rPr>
          <w:rFonts w:ascii="Calibri" w:hAnsi="Calibri"/>
        </w:rPr>
        <w:t xml:space="preserve"> </w:t>
      </w:r>
      <w:hyperlink r:id="rId15">
        <w:r>
          <w:rPr>
            <w:rFonts w:ascii="Calibri" w:hAnsi="Calibri" w:cs="Calibri"/>
            <w:color w:val="0B5CAB"/>
            <w:u w:val="single"/>
          </w:rPr>
          <w:t xml:space="preserve">Bid form (tnd-001 — published, no bid yet)</w:t>
        </w:r>
      </w:hyperlink>
    </w:p>
    <w:p>
      <w:r>
        <w:rPr>
          <w:rFonts w:ascii="Calibri" w:hAnsi="Calibri"/>
        </w:rPr>
        <w:t xml:space="preserve">Loads the tender (§3) to build the line-item form, checks </w:t>
      </w:r>
      <w:r>
        <w:rPr>
          <w:rFonts w:ascii="Consolas" w:hAnsi="Consolas" w:cs="Consolas"/>
          <w:color w:val="A82C4A"/>
          <w:sz w:val="18"/>
        </w:rPr>
        <w:t>GET /tenders/{id}/bid</w:t>
      </w:r>
      <w:r>
        <w:rPr>
          <w:rFonts w:ascii="Calibri" w:hAnsi="Calibri"/>
        </w:rPr>
        <w:t xml:space="preserve"> to block duplicate submission, then:</w:t>
      </w:r>
    </w:p>
    <w:p>
      <w:pPr>
        <w:pStyle w:val="Heading4"/>
      </w:pPr>
      <w:r>
        <w:rPr>
          <w:rFonts w:ascii="Consolas" w:hAnsi="Consolas" w:cs="Consolas"/>
          <w:b/>
          <w:color w:val="2E74B5"/>
          <w:sz w:val="19"/>
        </w:rPr>
        <w:t>POST /bids</w:t>
      </w:r>
    </w:p>
    <w:p>
      <w:r>
        <w:rPr>
          <w:rFonts w:ascii="Calibri" w:hAnsi="Calibri"/>
          <w:b/>
        </w:rPr>
        <w:t>Request</w:t>
      </w:r>
    </w:p>
    <w:p>
      <w:pPr>
        <w:spacing w:before="12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  <w:top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{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"tenderId": "tnd-001",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"technicalNotes": "We propose 200 GSM liner as an upgrade at no extra cost.",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"bidValidityDays": 90,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"items": [{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"tenderLineItemId": "tli-001",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"specificationOffered": "5-ply, 200 GSM kraft liner, 2-colour",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"unitPrice": 32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}]</w:t>
      </w:r>
    </w:p>
    <w:p>
      <w:pPr>
        <w:spacing w:before="0" w:after="120" w:line="240" w:lineRule="auto"/>
        <w:ind w:left="144" w:right="29"/>
        <w:keepLines w:val="1"/>
        <w:shd w:val="clear" w:color="auto" w:fill="F4F6F8"/>
        <w:pBdr>
          <w:left w:val="single" w:sz="6" w:space="3" w:color="D5DBE1"/>
          <w:right w:val="single" w:sz="6" w:space="3" w:color="D5DBE1"/>
          <w:bottom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}</w:t>
      </w:r>
    </w:p>
    <w:p>
      <w:pPr>
        <w:spacing w:before="60" w:after="60"/>
        <w:ind w:left="317" w:right="115"/>
        <w:shd w:val="clear" w:color="auto" w:fill="FFF8E6"/>
        <w:pBdr>
          <w:left w:val="single" w:sz="18" w:space="8" w:color="E0A800"/>
        </w:pBdr>
      </w:pPr>
      <w:r>
        <w:rPr>
          <w:rFonts w:ascii="Calibri" w:hAnsi="Calibri"/>
        </w:rPr>
        <w:t xml:space="preserve">The frontend currently also sends </w:t>
      </w:r>
      <w:r>
        <w:rPr>
          <w:rFonts w:ascii="Consolas" w:hAnsi="Consolas" w:cs="Consolas"/>
          <w:color w:val="A82C4A"/>
          <w:sz w:val="18"/>
        </w:rPr>
        <w:t>description</w:t>
      </w:r>
      <w:r>
        <w:rPr>
          <w:rFonts w:ascii="Calibri" w:hAnsi="Calibri"/>
        </w:rPr>
        <w:t xml:space="preserve">, </w:t>
      </w:r>
      <w:r>
        <w:rPr>
          <w:rFonts w:ascii="Consolas" w:hAnsi="Consolas" w:cs="Consolas"/>
          <w:color w:val="A82C4A"/>
          <w:sz w:val="18"/>
        </w:rPr>
        <w:t>unit</w:t>
      </w:r>
      <w:r>
        <w:rPr>
          <w:rFonts w:ascii="Calibri" w:hAnsi="Calibri"/>
        </w:rPr>
        <w:t xml:space="preserve">, and </w:t>
      </w:r>
      <w:r>
        <w:rPr>
          <w:rFonts w:ascii="Consolas" w:hAnsi="Consolas" w:cs="Consolas"/>
          <w:color w:val="A82C4A"/>
          <w:sz w:val="18"/>
        </w:rPr>
        <w:t>quantity</w:t>
      </w:r>
      <w:r>
        <w:rPr>
          <w:rFonts w:ascii="Calibri" w:hAnsi="Calibri"/>
        </w:rPr>
        <w:t xml:space="preserve"> on each item, copied from the tender line. </w:t>
      </w:r>
      <w:r>
        <w:rPr>
          <w:rFonts w:ascii="Calibri" w:hAnsi="Calibri"/>
          <w:b/>
        </w:rPr>
        <w:t>The backend should ignore those and read them from the tender line itself</w:t>
      </w:r>
      <w:r>
        <w:rPr>
          <w:rFonts w:ascii="Calibri" w:hAnsi="Calibri"/>
        </w:rPr>
        <w:t xml:space="preserve"> — the supplier cannot change them, so trusting the client is wrong. We will strip them once you confirm.</w:t>
      </w:r>
    </w:p>
    <w:p>
      <w:r>
        <w:rPr>
          <w:rFonts w:ascii="Calibri" w:hAnsi="Calibri"/>
          <w:b/>
        </w:rPr>
        <w:t>Money must be computed server-side.</w:t>
      </w:r>
      <w:r>
        <w:rPr>
          <w:rFonts w:ascii="Calibri" w:hAnsi="Calibri"/>
        </w:rPr>
        <w:t xml:space="preserve"> Do not trust client totals. The rule:</w:t>
      </w:r>
    </w:p>
    <w:p>
      <w:pPr>
        <w:spacing w:before="12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  <w:top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lineTotal    = quantity × unitPrice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subtotal     = Σ lineTotal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vatAmount    = round(subtotal × 0.15)</w:t>
      </w:r>
    </w:p>
    <w:p>
      <w:pPr>
        <w:spacing w:before="0" w:after="120" w:line="240" w:lineRule="auto"/>
        <w:ind w:left="144" w:right="29"/>
        <w:keepLines w:val="1"/>
        <w:shd w:val="clear" w:color="auto" w:fill="F4F6F8"/>
        <w:pBdr>
          <w:left w:val="single" w:sz="6" w:space="3" w:color="D5DBE1"/>
          <w:right w:val="single" w:sz="6" w:space="3" w:color="D5DBE1"/>
          <w:bottom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totalBidAmount = subtotal + vatAmount</w:t>
      </w:r>
    </w:p>
    <w:p>
      <w:r>
        <w:rPr>
          <w:rFonts w:ascii="Calibri" w:hAnsi="Calibri"/>
          <w:b/>
        </w:rPr>
        <w:t>Response 201</w:t>
      </w:r>
      <w:r>
        <w:rPr>
          <w:rFonts w:ascii="Calibri" w:hAnsi="Calibri"/>
        </w:rPr>
        <w:t xml:space="preserve"> — the created Bid object (§6), with </w:t>
      </w:r>
      <w:r>
        <w:rPr>
          <w:rFonts w:ascii="Consolas" w:hAnsi="Consolas" w:cs="Consolas"/>
          <w:color w:val="A82C4A"/>
          <w:sz w:val="18"/>
        </w:rPr>
        <w:t>bidNumber</w:t>
      </w:r>
      <w:r>
        <w:rPr>
          <w:rFonts w:ascii="Calibri" w:hAnsi="Calibri"/>
        </w:rPr>
        <w:t xml:space="preserve">, </w:t>
      </w:r>
      <w:r>
        <w:rPr>
          <w:rFonts w:ascii="Consolas" w:hAnsi="Consolas" w:cs="Consolas"/>
          <w:color w:val="A82C4A"/>
          <w:sz w:val="18"/>
        </w:rPr>
        <w:t>status: "submitted"</w:t>
      </w:r>
      <w:r>
        <w:rPr>
          <w:rFonts w:ascii="Calibri" w:hAnsi="Calibri"/>
        </w:rPr>
        <w:t xml:space="preserve">, and an initial </w:t>
      </w:r>
      <w:r>
        <w:rPr>
          <w:rFonts w:ascii="Consolas" w:hAnsi="Consolas" w:cs="Consolas"/>
          <w:color w:val="A82C4A"/>
          <w:sz w:val="18"/>
        </w:rPr>
        <w:t>timeline</w:t>
      </w:r>
      <w:r>
        <w:rPr>
          <w:rFonts w:ascii="Calibri" w:hAnsi="Calibri"/>
        </w:rPr>
        <w:t xml:space="preserve"> entry.</w:t>
      </w:r>
    </w:p>
    <w:p>
      <w:r>
        <w:rPr>
          <w:rFonts w:ascii="Calibri" w:hAnsi="Calibri"/>
          <w:b/>
        </w:rPr>
        <w:t>Validation the backend must enforce</w:t>
      </w:r>
      <w:r>
        <w:rPr>
          <w:rFonts w:ascii="Calibri" w:hAnsi="Calibri"/>
        </w:rPr>
        <w:t xml:space="preserve"> (the UI checks these too, but they are not authoritative): deadline not passed; tender </w:t>
      </w:r>
      <w:r>
        <w:rPr>
          <w:rFonts w:ascii="Consolas" w:hAnsi="Consolas" w:cs="Consolas"/>
          <w:color w:val="A82C4A"/>
          <w:sz w:val="18"/>
        </w:rPr>
        <w:t>status === "published"</w:t>
      </w:r>
      <w:r>
        <w:rPr>
          <w:rFonts w:ascii="Calibri" w:hAnsi="Calibri"/>
        </w:rPr>
        <w:t xml:space="preserve">; no existing bid; every tender line quoted; </w:t>
      </w:r>
      <w:r>
        <w:rPr>
          <w:rFonts w:ascii="Consolas" w:hAnsi="Consolas" w:cs="Consolas"/>
          <w:color w:val="A82C4A"/>
          <w:sz w:val="18"/>
        </w:rPr>
        <w:t>unitPrice &gt; 0</w:t>
      </w:r>
      <w:r>
        <w:rPr>
          <w:rFonts w:ascii="Calibri" w:hAnsi="Calibri"/>
        </w:rPr>
        <w:t xml:space="preserve">; </w:t>
      </w:r>
      <w:r>
        <w:rPr>
          <w:rFonts w:ascii="Consolas" w:hAnsi="Consolas" w:cs="Consolas"/>
          <w:color w:val="A82C4A"/>
          <w:sz w:val="18"/>
        </w:rPr>
        <w:t>bidValidityDays</w:t>
      </w:r>
      <w:r>
        <w:rPr>
          <w:rFonts w:ascii="Calibri" w:hAnsi="Calibri"/>
        </w:rPr>
        <w:t xml:space="preserve"> between 30 and 180.</w:t>
      </w:r>
    </w:p>
    <w:p>
      <w:pPr>
        <w:spacing w:before="80" w:after="200"/>
        <w:pBdr>
          <w:bottom w:val="single" w:sz="6" w:space="1" w:color="DCE3EA"/>
        </w:pBdr>
      </w:pPr>
    </w:p>
    <w:p>
      <w:pPr>
        <w:pStyle w:val="Heading3"/>
      </w:pPr>
      <w:r>
        <w:rPr>
          <w:rFonts w:ascii="Calibri" w:hAnsi="Calibri"/>
          <w:b/>
          <w:color w:val="2E74B5"/>
          <w:sz w:val="25"/>
        </w:rPr>
        <w:t xml:space="preserve">5. Bids list — </w:t>
      </w:r>
      <w:r>
        <w:rPr>
          <w:rFonts w:ascii="Consolas" w:hAnsi="Consolas" w:cs="Consolas"/>
          <w:b/>
          <w:color w:val="2E74B5"/>
          <w:sz w:val="22"/>
        </w:rPr>
        <w:t>/app/bids</w:t>
      </w:r>
    </w:p>
    <w:p>
      <w:r>
        <w:rPr>
          <w:rFonts w:ascii="Calibri" w:hAnsi="Calibri"/>
          <w:b/>
        </w:rPr>
        <w:t>Open screen:</w:t>
      </w:r>
      <w:r>
        <w:rPr>
          <w:rFonts w:ascii="Calibri" w:hAnsi="Calibri"/>
        </w:rPr>
        <w:t xml:space="preserve"> </w:t>
      </w:r>
      <w:hyperlink r:id="rId16">
        <w:r>
          <w:rPr>
            <w:rFonts w:ascii="Calibri" w:hAnsi="Calibri" w:cs="Calibri"/>
            <w:color w:val="0B5CAB"/>
            <w:u w:val="single"/>
          </w:rPr>
          <w:t xml:space="preserve">Bids list</w:t>
        </w:r>
      </w:hyperlink>
    </w:p>
    <w:p>
      <w:pPr>
        <w:pStyle w:val="Heading4"/>
      </w:pPr>
      <w:r>
        <w:rPr>
          <w:rFonts w:ascii="Consolas" w:hAnsi="Consolas" w:cs="Consolas"/>
          <w:b/>
          <w:color w:val="2E74B5"/>
          <w:sz w:val="19"/>
        </w:rPr>
        <w:t>GET /bids?status={BidStatus|all}&amp;search={string}</w:t>
      </w:r>
    </w:p>
    <w:p>
      <w:r>
        <w:rPr>
          <w:rFonts w:ascii="Consolas" w:hAnsi="Consolas" w:cs="Consolas"/>
          <w:color w:val="A82C4A"/>
          <w:sz w:val="18"/>
        </w:rPr>
        <w:t>search</w:t>
      </w:r>
      <w:r>
        <w:rPr>
          <w:rFonts w:ascii="Calibri" w:hAnsi="Calibri"/>
        </w:rPr>
        <w:t xml:space="preserve"> matches bid number, tender number, or tender title. Sorted by </w:t>
      </w:r>
      <w:r>
        <w:rPr>
          <w:rFonts w:ascii="Consolas" w:hAnsi="Consolas" w:cs="Consolas"/>
          <w:color w:val="A82C4A"/>
          <w:sz w:val="18"/>
        </w:rPr>
        <w:t>submittedAt</w:t>
      </w:r>
      <w:r>
        <w:rPr>
          <w:rFonts w:ascii="Calibri" w:hAnsi="Calibri"/>
        </w:rPr>
        <w:t xml:space="preserve"> descending. Array of Bid objects — the list uses </w:t>
      </w:r>
      <w:r>
        <w:rPr>
          <w:rFonts w:ascii="Consolas" w:hAnsi="Consolas" w:cs="Consolas"/>
          <w:color w:val="A82C4A"/>
          <w:sz w:val="18"/>
        </w:rPr>
        <w:t>bidNumber</w:t>
      </w:r>
      <w:r>
        <w:rPr>
          <w:rFonts w:ascii="Calibri" w:hAnsi="Calibri"/>
        </w:rPr>
        <w:t xml:space="preserve">, </w:t>
      </w:r>
      <w:r>
        <w:rPr>
          <w:rFonts w:ascii="Consolas" w:hAnsi="Consolas" w:cs="Consolas"/>
          <w:color w:val="A82C4A"/>
          <w:sz w:val="18"/>
        </w:rPr>
        <w:t>tenderNumber</w:t>
      </w:r>
      <w:r>
        <w:rPr>
          <w:rFonts w:ascii="Calibri" w:hAnsi="Calibri"/>
        </w:rPr>
        <w:t xml:space="preserve">, </w:t>
      </w:r>
      <w:r>
        <w:rPr>
          <w:rFonts w:ascii="Consolas" w:hAnsi="Consolas" w:cs="Consolas"/>
          <w:color w:val="A82C4A"/>
          <w:sz w:val="18"/>
        </w:rPr>
        <w:t>tenderTitle</w:t>
      </w:r>
      <w:r>
        <w:rPr>
          <w:rFonts w:ascii="Calibri" w:hAnsi="Calibri"/>
        </w:rPr>
        <w:t xml:space="preserve">, </w:t>
      </w:r>
      <w:r>
        <w:rPr>
          <w:rFonts w:ascii="Consolas" w:hAnsi="Consolas" w:cs="Consolas"/>
          <w:color w:val="A82C4A"/>
          <w:sz w:val="18"/>
        </w:rPr>
        <w:t>submittedAt</w:t>
      </w:r>
      <w:r>
        <w:rPr>
          <w:rFonts w:ascii="Calibri" w:hAnsi="Calibri"/>
        </w:rPr>
        <w:t xml:space="preserve">, </w:t>
      </w:r>
      <w:r>
        <w:rPr>
          <w:rFonts w:ascii="Consolas" w:hAnsi="Consolas" w:cs="Consolas"/>
          <w:color w:val="A82C4A"/>
          <w:sz w:val="18"/>
        </w:rPr>
        <w:t>totalBidAmount</w:t>
      </w:r>
      <w:r>
        <w:rPr>
          <w:rFonts w:ascii="Calibri" w:hAnsi="Calibri"/>
        </w:rPr>
        <w:t xml:space="preserve">, </w:t>
      </w:r>
      <w:r>
        <w:rPr>
          <w:rFonts w:ascii="Consolas" w:hAnsi="Consolas" w:cs="Consolas"/>
          <w:color w:val="A82C4A"/>
          <w:sz w:val="18"/>
        </w:rPr>
        <w:t>status</w:t>
      </w:r>
      <w:r>
        <w:rPr>
          <w:rFonts w:ascii="Calibri" w:hAnsi="Calibri"/>
        </w:rPr>
        <w:t>.</w:t>
      </w:r>
    </w:p>
    <w:p>
      <w:pPr>
        <w:spacing w:before="80" w:after="200"/>
        <w:pBdr>
          <w:bottom w:val="single" w:sz="6" w:space="1" w:color="DCE3EA"/>
        </w:pBdr>
      </w:pPr>
    </w:p>
    <w:p>
      <w:pPr>
        <w:pStyle w:val="Heading3"/>
      </w:pPr>
      <w:r>
        <w:rPr>
          <w:rFonts w:ascii="Calibri" w:hAnsi="Calibri"/>
          <w:b/>
          <w:color w:val="2E74B5"/>
          <w:sz w:val="25"/>
        </w:rPr>
        <w:t xml:space="preserve">6. Bid detail — </w:t>
      </w:r>
      <w:r>
        <w:rPr>
          <w:rFonts w:ascii="Consolas" w:hAnsi="Consolas" w:cs="Consolas"/>
          <w:b/>
          <w:color w:val="2E74B5"/>
          <w:sz w:val="22"/>
        </w:rPr>
        <w:t>/app/bids/{id}</w:t>
      </w:r>
    </w:p>
    <w:p>
      <w:r>
        <w:rPr>
          <w:rFonts w:ascii="Calibri" w:hAnsi="Calibri"/>
          <w:b/>
        </w:rPr>
        <w:t>Open screen:</w:t>
      </w:r>
      <w:r>
        <w:rPr>
          <w:rFonts w:ascii="Calibri" w:hAnsi="Calibri"/>
        </w:rPr>
        <w:t xml:space="preserve"> </w:t>
      </w:r>
      <w:hyperlink r:id="rId17">
        <w:r>
          <w:rPr>
            <w:rFonts w:ascii="Calibri" w:hAnsi="Calibri" w:cs="Calibri"/>
            <w:color w:val="0B5CAB"/>
            <w:u w:val="single"/>
          </w:rPr>
          <w:t xml:space="preserve">Bid detail (bid-002 — clarification requested)</w:t>
        </w:r>
      </w:hyperlink>
    </w:p>
    <w:p>
      <w:pPr>
        <w:pStyle w:val="Heading4"/>
      </w:pPr>
      <w:r>
        <w:rPr>
          <w:rFonts w:ascii="Consolas" w:hAnsi="Consolas" w:cs="Consolas"/>
          <w:b/>
          <w:color w:val="2E74B5"/>
          <w:sz w:val="19"/>
        </w:rPr>
        <w:t>GET /bids/{id}</w:t>
      </w:r>
    </w:p>
    <w:p>
      <w:pPr>
        <w:spacing w:before="12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  <w:top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{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"id": "bid-001",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"bidNumber": "BID-2026-0003",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"tenderId": "tnd-001",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"tenderNumber": "TND-2026-0007",     // denormalised — saves a second call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"tenderTitle": "Supply of Corrugated Packaging Cartons",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"supplierId": "SP-2024-001",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"submittedAt": "2026-08-05T14:20:00.000Z",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"technicalNotes": "…",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 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"items": [{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"id": "bli-001",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"tenderLineItemId": "tli-001",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"description": "5-ply corrugated carton, 40x30x25 cm",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"unit": "pcs",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"quantity": 50000,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"specificationOffered": "200 GSM kraft liner, 2-colour",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"unitPrice": 32,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"totalPrice": 1600000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}],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 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"subtotal": 1600000,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"vatAmount": 240000,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"totalBidAmount": 1840000,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"bidValidityDays": 90,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 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"status": "under_evaluation",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"technicalScore": 82,                // optional, 0–100, only after evaluation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"financialScore": 91,                // optional, 0–100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"evaluationRemarks": "Strong technical response.",  // optional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 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"clarifications": [{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"id": "bc-001",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"question": "Please confirm your delivery lead time.",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"askedBy": "Nusrat Jahan",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"askedAt": "2026-08-10T09:00:00.000Z",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"response": "30 days from PO.",     // optional — null until supplier answers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"respondedAt": "2026-08-11T08:15:00.000Z"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}],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 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"timeline": [{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"status": "submitted",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"timestamp": "2026-08-05T14:20:00.000Z",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"actor": "Ahsan Kabir",             // optional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"note": "Bid submitted via supplier portal"   // optional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}]</w:t>
      </w:r>
    </w:p>
    <w:p>
      <w:pPr>
        <w:spacing w:before="0" w:after="12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  <w:bottom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}</w:t>
      </w:r>
    </w:p>
    <w:p>
      <w:r>
        <w:rPr>
          <w:rFonts w:ascii="Consolas" w:hAnsi="Consolas" w:cs="Consolas"/>
          <w:color w:val="A82C4A"/>
          <w:sz w:val="18"/>
        </w:rPr>
        <w:t>timeline</w:t>
      </w:r>
      <w:r>
        <w:rPr>
          <w:rFonts w:ascii="Calibri" w:hAnsi="Calibri"/>
        </w:rPr>
        <w:t xml:space="preserve"> is rendered as a vertical audit trail. Order it </w:t>
      </w:r>
      <w:r>
        <w:rPr>
          <w:rFonts w:ascii="Calibri" w:hAnsi="Calibri"/>
          <w:b/>
        </w:rPr>
        <w:t>oldest first</w:t>
      </w:r>
      <w:r>
        <w:rPr>
          <w:rFonts w:ascii="Calibri" w:hAnsi="Calibri"/>
        </w:rPr>
        <w:t>.</w:t>
      </w:r>
    </w:p>
    <w:p>
      <w:pPr>
        <w:pStyle w:val="Heading4"/>
      </w:pPr>
      <w:r>
        <w:rPr>
          <w:rFonts w:ascii="Consolas" w:hAnsi="Consolas" w:cs="Consolas"/>
          <w:b/>
          <w:color w:val="2E74B5"/>
          <w:sz w:val="19"/>
        </w:rPr>
        <w:t>POST /bids/{id}/clarifications/{clarificationId}/response</w:t>
      </w:r>
    </w:p>
    <w:p>
      <w:r>
        <w:rPr>
          <w:rFonts w:ascii="Calibri" w:hAnsi="Calibri"/>
          <w:b/>
        </w:rPr>
        <w:t>Request</w:t>
      </w:r>
      <w:r>
        <w:rPr>
          <w:rFonts w:ascii="Calibri" w:hAnsi="Calibri"/>
        </w:rPr>
        <w:t xml:space="preserve"> </w:t>
      </w:r>
      <w:r>
        <w:rPr>
          <w:rFonts w:ascii="Consolas" w:hAnsi="Consolas" w:cs="Consolas"/>
          <w:color w:val="A82C4A"/>
          <w:sz w:val="18"/>
        </w:rPr>
        <w:t>{ "response": "30 days from PO issue." }</w:t>
      </w:r>
    </w:p>
    <w:p>
      <w:r>
        <w:rPr>
          <w:rFonts w:ascii="Calibri" w:hAnsi="Calibri"/>
          <w:b/>
        </w:rPr>
        <w:t>Response 200</w:t>
      </w:r>
      <w:r>
        <w:rPr>
          <w:rFonts w:ascii="Calibri" w:hAnsi="Calibri"/>
        </w:rPr>
        <w:t xml:space="preserve"> — full updated Bid. Side effects the backend owns: set </w:t>
      </w:r>
      <w:r>
        <w:rPr>
          <w:rFonts w:ascii="Consolas" w:hAnsi="Consolas" w:cs="Consolas"/>
          <w:color w:val="A82C4A"/>
          <w:sz w:val="18"/>
        </w:rPr>
        <w:t>clarification.response</w:t>
      </w:r>
      <w:r>
        <w:rPr>
          <w:rFonts w:ascii="Calibri" w:hAnsi="Calibri"/>
        </w:rPr>
        <w:t xml:space="preserve"> + </w:t>
      </w:r>
      <w:r>
        <w:rPr>
          <w:rFonts w:ascii="Consolas" w:hAnsi="Consolas" w:cs="Consolas"/>
          <w:color w:val="A82C4A"/>
          <w:sz w:val="18"/>
        </w:rPr>
        <w:t>respondedAt</w:t>
      </w:r>
      <w:r>
        <w:rPr>
          <w:rFonts w:ascii="Calibri" w:hAnsi="Calibri"/>
        </w:rPr>
        <w:t xml:space="preserve">, move </w:t>
      </w:r>
      <w:r>
        <w:rPr>
          <w:rFonts w:ascii="Consolas" w:hAnsi="Consolas" w:cs="Consolas"/>
          <w:color w:val="A82C4A"/>
          <w:sz w:val="18"/>
        </w:rPr>
        <w:t>bid.status</w:t>
      </w:r>
      <w:r>
        <w:rPr>
          <w:rFonts w:ascii="Calibri" w:hAnsi="Calibri"/>
        </w:rPr>
        <w:t xml:space="preserve"> back to </w:t>
      </w:r>
      <w:r>
        <w:rPr>
          <w:rFonts w:ascii="Consolas" w:hAnsi="Consolas" w:cs="Consolas"/>
          <w:color w:val="A82C4A"/>
          <w:sz w:val="18"/>
        </w:rPr>
        <w:t>"under_evaluation"</w:t>
      </w:r>
      <w:r>
        <w:rPr>
          <w:rFonts w:ascii="Calibri" w:hAnsi="Calibri"/>
        </w:rPr>
        <w:t>, and append a timeline entry.</w:t>
      </w:r>
    </w:p>
    <w:p>
      <w:pPr>
        <w:spacing w:before="80" w:after="200"/>
        <w:pBdr>
          <w:bottom w:val="single" w:sz="6" w:space="1" w:color="DCE3EA"/>
        </w:pBdr>
      </w:pPr>
    </w:p>
    <w:p>
      <w:pPr>
        <w:pStyle w:val="Heading3"/>
      </w:pPr>
      <w:r>
        <w:rPr>
          <w:rFonts w:ascii="Calibri" w:hAnsi="Calibri"/>
          <w:b/>
          <w:color w:val="2E74B5"/>
          <w:sz w:val="25"/>
        </w:rPr>
        <w:t xml:space="preserve">7. Order Information (PO list) — </w:t>
      </w:r>
      <w:r>
        <w:rPr>
          <w:rFonts w:ascii="Consolas" w:hAnsi="Consolas" w:cs="Consolas"/>
          <w:b/>
          <w:color w:val="2E74B5"/>
          <w:sz w:val="22"/>
        </w:rPr>
        <w:t>/app/purchase-orders</w:t>
      </w:r>
    </w:p>
    <w:p>
      <w:r>
        <w:rPr>
          <w:rFonts w:ascii="Calibri" w:hAnsi="Calibri"/>
          <w:b/>
        </w:rPr>
        <w:t>Open screen:</w:t>
      </w:r>
      <w:r>
        <w:rPr>
          <w:rFonts w:ascii="Calibri" w:hAnsi="Calibri"/>
        </w:rPr>
        <w:t xml:space="preserve"> </w:t>
      </w:r>
      <w:hyperlink r:id="rId18">
        <w:r>
          <w:rPr>
            <w:rFonts w:ascii="Calibri" w:hAnsi="Calibri" w:cs="Calibri"/>
            <w:color w:val="0B5CAB"/>
            <w:u w:val="single"/>
          </w:rPr>
          <w:t xml:space="preserve">Order Information</w:t>
        </w:r>
      </w:hyperlink>
    </w:p>
    <w:p>
      <w:r>
        <w:rPr>
          <w:rFonts w:ascii="Calibri" w:hAnsi="Calibri"/>
        </w:rPr>
        <w:t>This is the supplier's main working screen.</w:t>
      </w:r>
    </w:p>
    <w:p>
      <w:pPr>
        <w:pStyle w:val="Heading4"/>
      </w:pPr>
      <w:r>
        <w:rPr>
          <w:rFonts w:ascii="Consolas" w:hAnsi="Consolas" w:cs="Consolas"/>
          <w:b/>
          <w:color w:val="2E74B5"/>
          <w:sz w:val="19"/>
        </w:rPr>
        <w:t>GET /purchase-orders?status={POStatus|all}&amp;search={string}&amp;from={ISO}&amp;to={ISO}</w:t>
      </w:r>
    </w:p>
    <w:p>
      <w:r>
        <w:rPr>
          <w:rFonts w:ascii="Consolas" w:hAnsi="Consolas" w:cs="Consolas"/>
          <w:color w:val="A82C4A"/>
          <w:sz w:val="18"/>
        </w:rPr>
        <w:t>search</w:t>
      </w:r>
      <w:r>
        <w:rPr>
          <w:rFonts w:ascii="Calibri" w:hAnsi="Calibri"/>
        </w:rPr>
        <w:t xml:space="preserve"> matches PO number or buyer department. Sorted by </w:t>
      </w:r>
      <w:r>
        <w:rPr>
          <w:rFonts w:ascii="Consolas" w:hAnsi="Consolas" w:cs="Consolas"/>
          <w:color w:val="A82C4A"/>
          <w:sz w:val="18"/>
        </w:rPr>
        <w:t>issuedDate</w:t>
      </w:r>
      <w:r>
        <w:rPr>
          <w:rFonts w:ascii="Calibri" w:hAnsi="Calibri"/>
        </w:rPr>
        <w:t xml:space="preserve"> descending.</w:t>
      </w:r>
    </w:p>
    <w:p>
      <w:r>
        <w:rPr>
          <w:rFonts w:ascii="Calibri" w:hAnsi="Calibri"/>
          <w:b/>
        </w:rPr>
        <w:t>Columns rendered:</w:t>
      </w:r>
      <w:r>
        <w:rPr>
          <w:rFonts w:ascii="Calibri" w:hAnsi="Calibri"/>
        </w:rPr>
        <w:t xml:space="preserve"> PO Number · Issue Date · Item Count · </w:t>
      </w:r>
      <w:r>
        <w:rPr>
          <w:rFonts w:ascii="Calibri" w:hAnsi="Calibri"/>
          <w:b/>
        </w:rPr>
        <w:t>VDS Amount</w:t>
      </w:r>
      <w:r>
        <w:rPr>
          <w:rFonts w:ascii="Calibri" w:hAnsi="Calibri"/>
        </w:rPr>
        <w:t xml:space="preserve"> · </w:t>
      </w:r>
      <w:r>
        <w:rPr>
          <w:rFonts w:ascii="Calibri" w:hAnsi="Calibri"/>
          <w:b/>
        </w:rPr>
        <w:t>TDS Amount</w:t>
      </w:r>
      <w:r>
        <w:rPr>
          <w:rFonts w:ascii="Calibri" w:hAnsi="Calibri"/>
        </w:rPr>
        <w:t xml:space="preserve"> · Total · Expected Delivery Date · Status.</w:t>
      </w:r>
    </w:p>
    <w:p>
      <w:pPr>
        <w:spacing w:before="12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  <w:top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[{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"id": "po-001",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"poNumber": "PO-2026-0014",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"issuedDate": "2026-08-01T00:00:00.000Z",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"requiredDeliveryDate": "2026-09-15T00:00:00.000Z",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"buyerDepartment": "Feed Mill Division",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"subtotal": 1600000,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"vatAmount": 240000,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"grandTotal": 1840000,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"status": "acknowledged",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"items": [ /* needed only for the item count — see note */ ]</w:t>
      </w:r>
    </w:p>
    <w:p>
      <w:pPr>
        <w:spacing w:before="0" w:after="120" w:line="240" w:lineRule="auto"/>
        <w:ind w:left="144" w:right="29"/>
        <w:keepLines w:val="1"/>
        <w:shd w:val="clear" w:color="auto" w:fill="F4F6F8"/>
        <w:pBdr>
          <w:left w:val="single" w:sz="6" w:space="3" w:color="D5DBE1"/>
          <w:right w:val="single" w:sz="6" w:space="3" w:color="D5DBE1"/>
          <w:bottom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}]</w:t>
      </w:r>
    </w:p>
    <w:p>
      <w:pPr>
        <w:spacing w:before="60" w:after="60"/>
        <w:ind w:left="317" w:right="115"/>
        <w:shd w:val="clear" w:color="auto" w:fill="FFF8E6"/>
        <w:pBdr>
          <w:left w:val="single" w:sz="18" w:space="8" w:color="E0A800"/>
        </w:pBdr>
      </w:pPr>
      <w:r>
        <w:rPr>
          <w:rFonts w:ascii="Calibri" w:hAnsi="Calibri"/>
        </w:rPr>
        <w:t xml:space="preserve">⚠️ </w:t>
      </w:r>
      <w:r>
        <w:rPr>
          <w:rFonts w:ascii="Calibri" w:hAnsi="Calibri"/>
          <w:b/>
        </w:rPr>
        <w:t>Two things the frontend computes today that should move to the backend:</w:t>
      </w:r>
    </w:p>
    <w:p>
      <w:pPr>
        <w:spacing w:after="60"/>
        <w:ind w:left="864" w:hanging="432"/>
        <w:tabs>
          <w:tab w:val="left" w:pos="864"/>
        </w:tabs>
        <w:shd w:val="clear" w:color="auto" w:fill="FFF8E6"/>
        <w:pBdr>
          <w:left w:val="single" w:sz="18" w:space="8" w:color="E0A800"/>
        </w:pBdr>
      </w:pPr>
      <w:r>
        <w:rPr>
          <w:rFonts w:ascii="Calibri" w:hAnsi="Calibri"/>
          <w:b/>
          <w:color w:val="2E74B5"/>
        </w:rPr>
        <w:t>1.</w:t>
        <w:tab/>
      </w:r>
      <w:r>
        <w:rPr>
          <w:rFonts w:ascii="Calibri" w:hAnsi="Calibri"/>
          <w:b/>
        </w:rPr>
        <w:t>VDS / TDS amounts.</w:t>
      </w:r>
      <w:r>
        <w:rPr>
          <w:rFonts w:ascii="Calibri" w:hAnsi="Calibri"/>
        </w:rPr>
        <w:t xml:space="preserve"> Currently </w:t>
      </w:r>
      <w:r>
        <w:rPr>
          <w:rFonts w:ascii="Consolas" w:hAnsi="Consolas" w:cs="Consolas"/>
          <w:color w:val="A82C4A"/>
          <w:sz w:val="18"/>
        </w:rPr>
        <w:t>vds = round(subtotal × 0.075)</w:t>
      </w:r>
      <w:r>
        <w:rPr>
          <w:rFonts w:ascii="Calibri" w:hAnsi="Calibri"/>
        </w:rPr>
        <w:t xml:space="preserve"> and </w:t>
      </w:r>
      <w:r>
        <w:rPr>
          <w:rFonts w:ascii="Consolas" w:hAnsi="Consolas" w:cs="Consolas"/>
          <w:color w:val="A82C4A"/>
          <w:sz w:val="18"/>
        </w:rPr>
        <w:t>tds = round(subtotal × 0.03)</w:t>
      </w:r>
      <w:r>
        <w:rPr>
          <w:rFonts w:ascii="Calibri" w:hAnsi="Calibri"/>
        </w:rPr>
        <w:t xml:space="preserve">, hard-coded in </w:t>
      </w:r>
      <w:r>
        <w:rPr>
          <w:rFonts w:ascii="Consolas" w:hAnsi="Consolas" w:cs="Consolas"/>
          <w:color w:val="A82C4A"/>
          <w:sz w:val="18"/>
        </w:rPr>
        <w:t>src/lib/format/tax.ts</w:t>
      </w:r>
      <w:r>
        <w:rPr>
          <w:rFonts w:ascii="Calibri" w:hAnsi="Calibri"/>
        </w:rPr>
        <w:t xml:space="preserve">. Real NBR rates vary by item category and by whether the line is </w:t>
      </w:r>
      <w:r>
        <w:rPr>
          <w:rFonts w:ascii="Consolas" w:hAnsi="Consolas" w:cs="Consolas"/>
          <w:color w:val="A82C4A"/>
          <w:sz w:val="18"/>
        </w:rPr>
        <w:t>vdsApplicable</w:t>
      </w:r>
      <w:r>
        <w:rPr>
          <w:rFonts w:ascii="Calibri" w:hAnsi="Calibri"/>
        </w:rPr>
        <w:t xml:space="preserve">. </w:t>
      </w:r>
      <w:r>
        <w:rPr>
          <w:rFonts w:ascii="Calibri" w:hAnsi="Calibri"/>
          <w:b/>
        </w:rPr>
        <w:t xml:space="preserve">Please return </w:t>
      </w:r>
      <w:r>
        <w:rPr>
          <w:rFonts w:ascii="Consolas" w:hAnsi="Consolas" w:cs="Consolas"/>
          <w:b/>
          <w:color w:val="A82C4A"/>
          <w:sz w:val="18"/>
        </w:rPr>
        <w:t>vdsAmount</w:t>
      </w:r>
      <w:r>
        <w:rPr>
          <w:rFonts w:ascii="Calibri" w:hAnsi="Calibri"/>
          <w:b/>
        </w:rPr>
        <w:t xml:space="preserve"> and </w:t>
      </w:r>
      <w:r>
        <w:rPr>
          <w:rFonts w:ascii="Consolas" w:hAnsi="Consolas" w:cs="Consolas"/>
          <w:b/>
          <w:color w:val="A82C4A"/>
          <w:sz w:val="18"/>
        </w:rPr>
        <w:t>tdsAmount</w:t>
      </w:r>
      <w:r>
        <w:rPr>
          <w:rFonts w:ascii="Calibri" w:hAnsi="Calibri"/>
          <w:b/>
        </w:rPr>
        <w:t xml:space="preserve"> as fields on the PO</w:t>
      </w:r>
      <w:r>
        <w:rPr>
          <w:rFonts w:ascii="Calibri" w:hAnsi="Calibri"/>
        </w:rPr>
        <w:t xml:space="preserve"> so the rates live in the ERP where they belong.</w:t>
      </w:r>
    </w:p>
    <w:p>
      <w:pPr>
        <w:spacing w:after="60"/>
        <w:ind w:left="864" w:hanging="432"/>
        <w:tabs>
          <w:tab w:val="left" w:pos="864"/>
        </w:tabs>
        <w:shd w:val="clear" w:color="auto" w:fill="FFF8E6"/>
        <w:pBdr>
          <w:left w:val="single" w:sz="18" w:space="8" w:color="E0A800"/>
        </w:pBdr>
      </w:pPr>
      <w:r>
        <w:rPr>
          <w:rFonts w:ascii="Calibri" w:hAnsi="Calibri"/>
          <w:b/>
          <w:color w:val="2E74B5"/>
        </w:rPr>
        <w:t>2.</w:t>
        <w:tab/>
      </w:r>
      <w:r>
        <w:rPr>
          <w:rFonts w:ascii="Calibri" w:hAnsi="Calibri"/>
          <w:b/>
        </w:rPr>
        <w:t>Item count.</w:t>
      </w:r>
      <w:r>
        <w:rPr>
          <w:rFonts w:ascii="Calibri" w:hAnsi="Calibri"/>
        </w:rPr>
        <w:t xml:space="preserve"> The list only needs </w:t>
      </w:r>
      <w:r>
        <w:rPr>
          <w:rFonts w:ascii="Consolas" w:hAnsi="Consolas" w:cs="Consolas"/>
          <w:color w:val="A82C4A"/>
          <w:sz w:val="18"/>
        </w:rPr>
        <w:t>items.length</w:t>
      </w:r>
      <w:r>
        <w:rPr>
          <w:rFonts w:ascii="Calibri" w:hAnsi="Calibri"/>
        </w:rPr>
        <w:t xml:space="preserve">. Sending the full </w:t>
      </w:r>
      <w:r>
        <w:rPr>
          <w:rFonts w:ascii="Consolas" w:hAnsi="Consolas" w:cs="Consolas"/>
          <w:color w:val="A82C4A"/>
          <w:sz w:val="18"/>
        </w:rPr>
        <w:t>items</w:t>
      </w:r>
      <w:r>
        <w:rPr>
          <w:rFonts w:ascii="Calibri" w:hAnsi="Calibri"/>
        </w:rPr>
        <w:t xml:space="preserve"> array on a list endpoint is wasteful — </w:t>
      </w:r>
      <w:r>
        <w:rPr>
          <w:rFonts w:ascii="Calibri" w:hAnsi="Calibri"/>
          <w:b/>
        </w:rPr>
        <w:t xml:space="preserve">add </w:t>
      </w:r>
      <w:r>
        <w:rPr>
          <w:rFonts w:ascii="Consolas" w:hAnsi="Consolas" w:cs="Consolas"/>
          <w:b/>
          <w:color w:val="A82C4A"/>
          <w:sz w:val="18"/>
        </w:rPr>
        <w:t>itemCount: 12</w:t>
      </w:r>
      <w:r>
        <w:rPr>
          <w:rFonts w:ascii="Calibri" w:hAnsi="Calibri"/>
        </w:rPr>
        <w:t xml:space="preserve"> and we will drop </w:t>
      </w:r>
      <w:r>
        <w:rPr>
          <w:rFonts w:ascii="Consolas" w:hAnsi="Consolas" w:cs="Consolas"/>
          <w:color w:val="A82C4A"/>
          <w:sz w:val="18"/>
        </w:rPr>
        <w:t>items</w:t>
      </w:r>
      <w:r>
        <w:rPr>
          <w:rFonts w:ascii="Calibri" w:hAnsi="Calibri"/>
        </w:rPr>
        <w:t xml:space="preserve"> from the list response.</w:t>
      </w:r>
    </w:p>
    <w:p>
      <w:pPr>
        <w:spacing w:before="60" w:after="60"/>
        <w:ind w:left="317" w:right="115"/>
        <w:shd w:val="clear" w:color="auto" w:fill="FFF8E6"/>
        <w:pBdr>
          <w:left w:val="single" w:sz="18" w:space="8" w:color="E0A800"/>
        </w:pBdr>
      </w:pPr>
      <w:r>
        <w:rPr>
          <w:rFonts w:ascii="Calibri" w:hAnsi="Calibri"/>
        </w:rPr>
        <w:t xml:space="preserve">The list also calls </w:t>
      </w:r>
      <w:r>
        <w:rPr>
          <w:rFonts w:ascii="Consolas" w:hAnsi="Consolas" w:cs="Consolas"/>
          <w:color w:val="A82C4A"/>
          <w:sz w:val="18"/>
        </w:rPr>
        <w:t>GET /invoices</w:t>
      </w:r>
      <w:r>
        <w:rPr>
          <w:rFonts w:ascii="Calibri" w:hAnsi="Calibri"/>
        </w:rPr>
        <w:t xml:space="preserve"> purely to compute billed/paid/due per PO. That is a full second dataset fetched to derive three numbers. </w:t>
      </w:r>
      <w:r>
        <w:rPr>
          <w:rFonts w:ascii="Calibri" w:hAnsi="Calibri"/>
          <w:b/>
        </w:rPr>
        <w:t xml:space="preserve">Ideally the PO carries </w:t>
      </w:r>
      <w:r>
        <w:rPr>
          <w:rFonts w:ascii="Consolas" w:hAnsi="Consolas" w:cs="Consolas"/>
          <w:b/>
          <w:color w:val="A82C4A"/>
          <w:sz w:val="18"/>
        </w:rPr>
        <w:t>billedAmount</w:t>
      </w:r>
      <w:r>
        <w:rPr>
          <w:rFonts w:ascii="Calibri" w:hAnsi="Calibri"/>
          <w:b/>
        </w:rPr>
        <w:t xml:space="preserve">, </w:t>
      </w:r>
      <w:r>
        <w:rPr>
          <w:rFonts w:ascii="Consolas" w:hAnsi="Consolas" w:cs="Consolas"/>
          <w:b/>
          <w:color w:val="A82C4A"/>
          <w:sz w:val="18"/>
        </w:rPr>
        <w:t>paidAmount</w:t>
      </w:r>
      <w:r>
        <w:rPr>
          <w:rFonts w:ascii="Calibri" w:hAnsi="Calibri"/>
          <w:b/>
        </w:rPr>
        <w:t xml:space="preserve">, and </w:t>
      </w:r>
      <w:r>
        <w:rPr>
          <w:rFonts w:ascii="Consolas" w:hAnsi="Consolas" w:cs="Consolas"/>
          <w:b/>
          <w:color w:val="A82C4A"/>
          <w:sz w:val="18"/>
        </w:rPr>
        <w:t>dueAmount</w:t>
      </w:r>
      <w:r>
        <w:rPr>
          <w:rFonts w:ascii="Calibri" w:hAnsi="Calibri"/>
        </w:rPr>
        <w:t xml:space="preserve"> and we drop the second call entirely.</w:t>
      </w:r>
    </w:p>
    <w:p>
      <w:pPr>
        <w:spacing w:before="80" w:after="200"/>
        <w:pBdr>
          <w:bottom w:val="single" w:sz="6" w:space="1" w:color="DCE3EA"/>
        </w:pBdr>
      </w:pPr>
    </w:p>
    <w:p>
      <w:pPr>
        <w:pStyle w:val="Heading3"/>
      </w:pPr>
      <w:r>
        <w:rPr>
          <w:rFonts w:ascii="Calibri" w:hAnsi="Calibri"/>
          <w:b/>
          <w:color w:val="2E74B5"/>
          <w:sz w:val="25"/>
        </w:rPr>
        <w:t xml:space="preserve">8. Order detail — </w:t>
      </w:r>
      <w:r>
        <w:rPr>
          <w:rFonts w:ascii="Consolas" w:hAnsi="Consolas" w:cs="Consolas"/>
          <w:b/>
          <w:color w:val="2E74B5"/>
          <w:sz w:val="22"/>
        </w:rPr>
        <w:t>/app/purchase-orders/{id}</w:t>
      </w:r>
    </w:p>
    <w:p>
      <w:r>
        <w:rPr>
          <w:rFonts w:ascii="Calibri" w:hAnsi="Calibri"/>
          <w:b/>
        </w:rPr>
        <w:t>Open screen:</w:t>
      </w:r>
      <w:r>
        <w:rPr>
          <w:rFonts w:ascii="Calibri" w:hAnsi="Calibri"/>
        </w:rPr>
        <w:t xml:space="preserve"> </w:t>
      </w:r>
      <w:hyperlink r:id="rId19">
        <w:r>
          <w:rPr>
            <w:rFonts w:ascii="Calibri" w:hAnsi="Calibri" w:cs="Calibri"/>
            <w:color w:val="0B5CAB"/>
            <w:u w:val="single"/>
          </w:rPr>
          <w:t xml:space="preserve">Order detail (po-008 — issued, Acknowledge button visible)</w:t>
        </w:r>
      </w:hyperlink>
    </w:p>
    <w:p>
      <w:pPr>
        <w:pStyle w:val="Heading4"/>
      </w:pPr>
      <w:r>
        <w:rPr>
          <w:rFonts w:ascii="Consolas" w:hAnsi="Consolas" w:cs="Consolas"/>
          <w:b/>
          <w:color w:val="2E74B5"/>
          <w:sz w:val="19"/>
        </w:rPr>
        <w:t>GET /purchase-orders/{id}</w:t>
      </w:r>
    </w:p>
    <w:p>
      <w:pPr>
        <w:spacing w:before="12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  <w:top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{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"id": "po-001",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"poNumber": "PO-2026-0014",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"issuedDate": "2026-08-01T00:00:00.000Z",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"requiredDeliveryDate": "2026-09-15T00:00:00.000Z",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 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"buyerDepartment": "Feed Mill Division",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"buyerContactName": "Nusrat Jahan",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"buyerContactEmail": "nusrat.jahan@kazifarms.com",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 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"items": [{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"id": "poli-001",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"itemCode": "PKG-CTN-403025",     // optional, from product catalogue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"itemName": "Corrugated Carton 40x30x25",  // optional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"specification": "5-ply, 180 GSM",         // optional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"description": "5-ply corrugated carton, 40x30x25 cm",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"unit": "pcs",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"quantity": 50000,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"unitPrice": 32,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"totalPrice": 1600000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}],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 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"subtotal": 1600000,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"vatAmount": 240000,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"grandTotal": 1840000,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 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"status": "acknowledged",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"acknowledgedAt": "2026-08-02T06:40:00.000Z",   // optional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 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"deliveryAddress": "Kazi Farms Feed Mill, Gazipur",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"termsAndConditions": "Line one\nLine two\nLine three",   // newline-separated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"notes": "Deliver in two consignments."          // optional</w:t>
      </w:r>
    </w:p>
    <w:p>
      <w:pPr>
        <w:spacing w:before="0" w:after="12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  <w:bottom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}</w:t>
      </w:r>
    </w:p>
    <w:p>
      <w:r>
        <w:rPr>
          <w:rFonts w:ascii="Calibri" w:hAnsi="Calibri"/>
        </w:rPr>
        <w:t xml:space="preserve">Note the asymmetry: PO </w:t>
      </w:r>
      <w:r>
        <w:rPr>
          <w:rFonts w:ascii="Consolas" w:hAnsi="Consolas" w:cs="Consolas"/>
          <w:color w:val="A82C4A"/>
          <w:sz w:val="18"/>
        </w:rPr>
        <w:t>termsAndConditions</w:t>
      </w:r>
      <w:r>
        <w:rPr>
          <w:rFonts w:ascii="Calibri" w:hAnsi="Calibri"/>
        </w:rPr>
        <w:t xml:space="preserve"> is a </w:t>
      </w:r>
      <w:r>
        <w:rPr>
          <w:rFonts w:ascii="Calibri" w:hAnsi="Calibri"/>
          <w:b/>
        </w:rPr>
        <w:t>newline-separated string</w:t>
      </w:r>
      <w:r>
        <w:rPr>
          <w:rFonts w:ascii="Calibri" w:hAnsi="Calibri"/>
        </w:rPr>
        <w:t xml:space="preserve"> (split on </w:t>
      </w:r>
      <w:r>
        <w:rPr>
          <w:rFonts w:ascii="Consolas" w:hAnsi="Consolas" w:cs="Consolas"/>
          <w:color w:val="A82C4A"/>
          <w:sz w:val="18"/>
        </w:rPr>
        <w:t>\n</w:t>
      </w:r>
      <w:r>
        <w:rPr>
          <w:rFonts w:ascii="Calibri" w:hAnsi="Calibri"/>
        </w:rPr>
        <w:t xml:space="preserve"> by the UI), while Tender </w:t>
      </w:r>
      <w:r>
        <w:rPr>
          <w:rFonts w:ascii="Consolas" w:hAnsi="Consolas" w:cs="Consolas"/>
          <w:color w:val="A82C4A"/>
          <w:sz w:val="18"/>
        </w:rPr>
        <w:t>termsAndConditions</w:t>
      </w:r>
      <w:r>
        <w:rPr>
          <w:rFonts w:ascii="Calibri" w:hAnsi="Calibri"/>
        </w:rPr>
        <w:t xml:space="preserve"> is an </w:t>
      </w:r>
      <w:r>
        <w:rPr>
          <w:rFonts w:ascii="Calibri" w:hAnsi="Calibri"/>
          <w:b/>
        </w:rPr>
        <w:t>array of strings</w:t>
      </w:r>
      <w:r>
        <w:rPr>
          <w:rFonts w:ascii="Calibri" w:hAnsi="Calibri"/>
        </w:rPr>
        <w:t>. That is an existing inconsistency in the frontend — if you would rather send arrays for both, say so and we will normalise.</w:t>
      </w:r>
    </w:p>
    <w:p>
      <w:r>
        <w:rPr>
          <w:rFonts w:ascii="Calibri" w:hAnsi="Calibri"/>
        </w:rPr>
        <w:t xml:space="preserve">This screen additionally pulls </w:t>
      </w:r>
      <w:r>
        <w:rPr>
          <w:rFonts w:ascii="Consolas" w:hAnsi="Consolas" w:cs="Consolas"/>
          <w:color w:val="A82C4A"/>
          <w:sz w:val="18"/>
        </w:rPr>
        <w:t>GET /invoices</w:t>
      </w:r>
      <w:r>
        <w:rPr>
          <w:rFonts w:ascii="Calibri" w:hAnsi="Calibri"/>
        </w:rPr>
        <w:t xml:space="preserve">, </w:t>
      </w:r>
      <w:r>
        <w:rPr>
          <w:rFonts w:ascii="Consolas" w:hAnsi="Consolas" w:cs="Consolas"/>
          <w:color w:val="A82C4A"/>
          <w:sz w:val="18"/>
        </w:rPr>
        <w:t>GET /payments</w:t>
      </w:r>
      <w:r>
        <w:rPr>
          <w:rFonts w:ascii="Calibri" w:hAnsi="Calibri"/>
        </w:rPr>
        <w:t xml:space="preserve">, and </w:t>
      </w:r>
      <w:r>
        <w:rPr>
          <w:rFonts w:ascii="Consolas" w:hAnsi="Consolas" w:cs="Consolas"/>
          <w:color w:val="A82C4A"/>
          <w:sz w:val="18"/>
        </w:rPr>
        <w:t>GET /profile</w:t>
      </w:r>
      <w:r>
        <w:rPr>
          <w:rFonts w:ascii="Calibri" w:hAnsi="Calibri"/>
        </w:rPr>
        <w:t xml:space="preserve"> to build a "Bills against this order" table (bill number, amount, paid amount, unpaid/ partially_paid/paid). </w:t>
      </w:r>
      <w:r>
        <w:rPr>
          <w:rFonts w:ascii="Calibri" w:hAnsi="Calibri"/>
          <w:b/>
        </w:rPr>
        <w:t xml:space="preserve">A dedicated </w:t>
      </w:r>
      <w:r>
        <w:rPr>
          <w:rFonts w:ascii="Consolas" w:hAnsi="Consolas" w:cs="Consolas"/>
          <w:b/>
          <w:color w:val="A82C4A"/>
          <w:sz w:val="18"/>
        </w:rPr>
        <w:t>GET /purchase-orders/{id}/bills</w:t>
      </w:r>
      <w:r>
        <w:rPr>
          <w:rFonts w:ascii="Calibri" w:hAnsi="Calibri"/>
          <w:b/>
        </w:rPr>
        <w:t xml:space="preserve"> would replace all three calls</w:t>
      </w:r>
      <w:r>
        <w:rPr>
          <w:rFonts w:ascii="Calibri" w:hAnsi="Calibri"/>
        </w:rPr>
        <w:t xml:space="preserve"> — worth considering.</w:t>
      </w:r>
    </w:p>
    <w:p>
      <w:pPr>
        <w:pStyle w:val="Heading4"/>
      </w:pPr>
      <w:r>
        <w:rPr>
          <w:rFonts w:ascii="Consolas" w:hAnsi="Consolas" w:cs="Consolas"/>
          <w:b/>
          <w:color w:val="2E74B5"/>
          <w:sz w:val="19"/>
        </w:rPr>
        <w:t>POST /purchase-orders/{id}/acknowledge</w:t>
      </w:r>
    </w:p>
    <w:p>
      <w:r>
        <w:rPr>
          <w:rFonts w:ascii="Calibri" w:hAnsi="Calibri"/>
          <w:b/>
        </w:rPr>
        <w:t>Request</w:t>
      </w:r>
      <w:r>
        <w:rPr>
          <w:rFonts w:ascii="Calibri" w:hAnsi="Calibri"/>
        </w:rPr>
        <w:t xml:space="preserve"> — empty body. </w:t>
      </w:r>
      <w:r>
        <w:rPr>
          <w:rFonts w:ascii="Calibri" w:hAnsi="Calibri"/>
          <w:b/>
        </w:rPr>
        <w:t>Response 200</w:t>
      </w:r>
      <w:r>
        <w:rPr>
          <w:rFonts w:ascii="Calibri" w:hAnsi="Calibri"/>
        </w:rPr>
        <w:t xml:space="preserve"> — the full updated PO with </w:t>
      </w:r>
      <w:r>
        <w:rPr>
          <w:rFonts w:ascii="Consolas" w:hAnsi="Consolas" w:cs="Consolas"/>
          <w:color w:val="A82C4A"/>
          <w:sz w:val="18"/>
        </w:rPr>
        <w:t>status: "acknowledged"</w:t>
      </w:r>
      <w:r>
        <w:rPr>
          <w:rFonts w:ascii="Calibri" w:hAnsi="Calibri"/>
        </w:rPr>
        <w:t xml:space="preserve"> and </w:t>
      </w:r>
      <w:r>
        <w:rPr>
          <w:rFonts w:ascii="Consolas" w:hAnsi="Consolas" w:cs="Consolas"/>
          <w:color w:val="A82C4A"/>
          <w:sz w:val="18"/>
        </w:rPr>
        <w:t>acknowledgedAt</w:t>
      </w:r>
      <w:r>
        <w:rPr>
          <w:rFonts w:ascii="Calibri" w:hAnsi="Calibri"/>
        </w:rPr>
        <w:t xml:space="preserve"> set. Returns </w:t>
      </w:r>
      <w:r>
        <w:rPr>
          <w:rFonts w:ascii="Consolas" w:hAnsi="Consolas" w:cs="Consolas"/>
          <w:color w:val="A82C4A"/>
          <w:sz w:val="18"/>
        </w:rPr>
        <w:t>409</w:t>
      </w:r>
      <w:r>
        <w:rPr>
          <w:rFonts w:ascii="Calibri" w:hAnsi="Calibri"/>
        </w:rPr>
        <w:t xml:space="preserve"> if the PO is not in </w:t>
      </w:r>
      <w:r>
        <w:rPr>
          <w:rFonts w:ascii="Consolas" w:hAnsi="Consolas" w:cs="Consolas"/>
          <w:color w:val="A82C4A"/>
          <w:sz w:val="18"/>
        </w:rPr>
        <w:t>issued</w:t>
      </w:r>
      <w:r>
        <w:rPr>
          <w:rFonts w:ascii="Calibri" w:hAnsi="Calibri"/>
        </w:rPr>
        <w:t xml:space="preserve"> status.</w:t>
      </w:r>
    </w:p>
    <w:p>
      <w:r>
        <w:rPr>
          <w:rFonts w:ascii="Calibri" w:hAnsi="Calibri"/>
        </w:rPr>
        <w:t xml:space="preserve">Requires the </w:t>
      </w:r>
      <w:r>
        <w:rPr>
          <w:rFonts w:ascii="Consolas" w:hAnsi="Consolas" w:cs="Consolas"/>
          <w:color w:val="A82C4A"/>
          <w:sz w:val="18"/>
        </w:rPr>
        <w:t>acknowledge_po</w:t>
      </w:r>
      <w:r>
        <w:rPr>
          <w:rFonts w:ascii="Calibri" w:hAnsi="Calibri"/>
        </w:rPr>
        <w:t xml:space="preserve"> permission (§6 of the RBAC table below).</w:t>
      </w:r>
    </w:p>
    <w:p>
      <w:pPr>
        <w:spacing w:before="80" w:after="200"/>
        <w:pBdr>
          <w:bottom w:val="single" w:sz="6" w:space="1" w:color="DCE3EA"/>
        </w:pBdr>
      </w:pPr>
    </w:p>
    <w:p>
      <w:pPr>
        <w:pStyle w:val="Heading3"/>
      </w:pPr>
      <w:r>
        <w:rPr>
          <w:rFonts w:ascii="Calibri" w:hAnsi="Calibri"/>
          <w:b/>
          <w:color w:val="2E74B5"/>
          <w:sz w:val="25"/>
        </w:rPr>
        <w:t xml:space="preserve">9. Bill Submission list — </w:t>
      </w:r>
      <w:r>
        <w:rPr>
          <w:rFonts w:ascii="Consolas" w:hAnsi="Consolas" w:cs="Consolas"/>
          <w:b/>
          <w:color w:val="2E74B5"/>
          <w:sz w:val="22"/>
        </w:rPr>
        <w:t>/app/bills</w:t>
      </w:r>
    </w:p>
    <w:p>
      <w:r>
        <w:rPr>
          <w:rFonts w:ascii="Calibri" w:hAnsi="Calibri"/>
          <w:b/>
        </w:rPr>
        <w:t>Open screen:</w:t>
      </w:r>
      <w:r>
        <w:rPr>
          <w:rFonts w:ascii="Calibri" w:hAnsi="Calibri"/>
        </w:rPr>
        <w:t xml:space="preserve"> </w:t>
      </w:r>
      <w:hyperlink r:id="rId20">
        <w:r>
          <w:rPr>
            <w:rFonts w:ascii="Calibri" w:hAnsi="Calibri" w:cs="Calibri"/>
            <w:color w:val="0B5CAB"/>
            <w:u w:val="single"/>
          </w:rPr>
          <w:t xml:space="preserve">Bill Submission</w:t>
        </w:r>
      </w:hyperlink>
    </w:p>
    <w:p>
      <w:r>
        <w:rPr>
          <w:rFonts w:ascii="Calibri" w:hAnsi="Calibri"/>
        </w:rPr>
        <w:t xml:space="preserve">Lists POs the supplier can bill against. Built from </w:t>
      </w:r>
      <w:r>
        <w:rPr>
          <w:rFonts w:ascii="Consolas" w:hAnsi="Consolas" w:cs="Consolas"/>
          <w:color w:val="A82C4A"/>
          <w:sz w:val="18"/>
        </w:rPr>
        <w:t>GET /purchase-orders</w:t>
      </w:r>
      <w:r>
        <w:rPr>
          <w:rFonts w:ascii="Calibri" w:hAnsi="Calibri"/>
        </w:rPr>
        <w:t xml:space="preserve"> + </w:t>
      </w:r>
      <w:r>
        <w:rPr>
          <w:rFonts w:ascii="Consolas" w:hAnsi="Consolas" w:cs="Consolas"/>
          <w:color w:val="A82C4A"/>
          <w:sz w:val="18"/>
        </w:rPr>
        <w:t>GET /invoices</w:t>
      </w:r>
      <w:r>
        <w:rPr>
          <w:rFonts w:ascii="Calibri" w:hAnsi="Calibri"/>
        </w:rPr>
        <w:t>.</w:t>
      </w:r>
    </w:p>
    <w:p>
      <w:r>
        <w:rPr>
          <w:rFonts w:ascii="Calibri" w:hAnsi="Calibri"/>
        </w:rPr>
        <w:t xml:space="preserve">Frontend logic today: exclude POs with status </w:t>
      </w:r>
      <w:r>
        <w:rPr>
          <w:rFonts w:ascii="Consolas" w:hAnsi="Consolas" w:cs="Consolas"/>
          <w:color w:val="A82C4A"/>
          <w:sz w:val="18"/>
        </w:rPr>
        <w:t>draft</w:t>
      </w:r>
      <w:r>
        <w:rPr>
          <w:rFonts w:ascii="Calibri" w:hAnsi="Calibri"/>
        </w:rPr>
        <w:t xml:space="preserve"> or </w:t>
      </w:r>
      <w:r>
        <w:rPr>
          <w:rFonts w:ascii="Consolas" w:hAnsi="Consolas" w:cs="Consolas"/>
          <w:color w:val="A82C4A"/>
          <w:sz w:val="18"/>
        </w:rPr>
        <w:t>cancelled</w:t>
      </w:r>
      <w:r>
        <w:rPr>
          <w:rFonts w:ascii="Calibri" w:hAnsi="Calibri"/>
        </w:rPr>
        <w:t xml:space="preserve">; a PO is "Pending Bill = Yes" if no invoice exists against it with status in </w:t>
      </w:r>
      <w:r>
        <w:rPr>
          <w:rFonts w:ascii="Consolas" w:hAnsi="Consolas" w:cs="Consolas"/>
          <w:color w:val="A82C4A"/>
          <w:sz w:val="18"/>
        </w:rPr>
        <w:t>submitted | under_review | approved | paid</w:t>
      </w:r>
      <w:r>
        <w:rPr>
          <w:rFonts w:ascii="Calibri" w:hAnsi="Calibri"/>
        </w:rPr>
        <w:t>.</w:t>
      </w:r>
    </w:p>
    <w:p>
      <w:pPr>
        <w:spacing w:before="60" w:after="60"/>
        <w:ind w:left="317" w:right="115"/>
        <w:shd w:val="clear" w:color="auto" w:fill="FFF8E6"/>
        <w:pBdr>
          <w:left w:val="single" w:sz="18" w:space="8" w:color="E0A800"/>
        </w:pBdr>
      </w:pPr>
      <w:r>
        <w:rPr>
          <w:rFonts w:ascii="Calibri" w:hAnsi="Calibri"/>
          <w:b/>
        </w:rPr>
        <w:t>Better:</w:t>
      </w:r>
      <w:r>
        <w:rPr>
          <w:rFonts w:ascii="Calibri" w:hAnsi="Calibri"/>
        </w:rPr>
        <w:t xml:space="preserve"> give us </w:t>
      </w:r>
      <w:r>
        <w:rPr>
          <w:rFonts w:ascii="Consolas" w:hAnsi="Consolas" w:cs="Consolas"/>
          <w:color w:val="A82C4A"/>
          <w:sz w:val="18"/>
        </w:rPr>
        <w:t>GET /purchase-orders/billable</w:t>
      </w:r>
      <w:r>
        <w:rPr>
          <w:rFonts w:ascii="Calibri" w:hAnsi="Calibri"/>
        </w:rPr>
        <w:t xml:space="preserve"> returning POs with a </w:t>
      </w:r>
      <w:r>
        <w:rPr>
          <w:rFonts w:ascii="Consolas" w:hAnsi="Consolas" w:cs="Consolas"/>
          <w:color w:val="A82C4A"/>
          <w:sz w:val="18"/>
        </w:rPr>
        <w:t>pendingBillAmount</w:t>
      </w:r>
      <w:r>
        <w:rPr>
          <w:rFonts w:ascii="Calibri" w:hAnsi="Calibri"/>
        </w:rPr>
        <w:t xml:space="preserve"> field. That removes the client-side join and the whole-invoice-list download.</w:t>
      </w:r>
    </w:p>
    <w:p>
      <w:pPr>
        <w:spacing w:before="80" w:after="200"/>
        <w:pBdr>
          <w:bottom w:val="single" w:sz="6" w:space="1" w:color="DCE3EA"/>
        </w:pBdr>
      </w:pPr>
    </w:p>
    <w:p>
      <w:pPr>
        <w:pStyle w:val="Heading3"/>
      </w:pPr>
      <w:r>
        <w:rPr>
          <w:rFonts w:ascii="Calibri" w:hAnsi="Calibri"/>
          <w:b/>
          <w:color w:val="2E74B5"/>
          <w:sz w:val="25"/>
        </w:rPr>
        <w:t xml:space="preserve">10. Submit Bill form — </w:t>
      </w:r>
      <w:r>
        <w:rPr>
          <w:rFonts w:ascii="Consolas" w:hAnsi="Consolas" w:cs="Consolas"/>
          <w:b/>
          <w:color w:val="2E74B5"/>
          <w:sz w:val="22"/>
        </w:rPr>
        <w:t>/app/bills/{poId}</w:t>
      </w:r>
    </w:p>
    <w:p>
      <w:r>
        <w:rPr>
          <w:rFonts w:ascii="Calibri" w:hAnsi="Calibri"/>
          <w:b/>
        </w:rPr>
        <w:t>Open screen:</w:t>
      </w:r>
      <w:r>
        <w:rPr>
          <w:rFonts w:ascii="Calibri" w:hAnsi="Calibri"/>
        </w:rPr>
        <w:t xml:space="preserve"> </w:t>
      </w:r>
      <w:hyperlink r:id="rId21">
        <w:r>
          <w:rPr>
            <w:rFonts w:ascii="Calibri" w:hAnsi="Calibri" w:cs="Calibri"/>
            <w:color w:val="0B5CAB"/>
            <w:u w:val="single"/>
          </w:rPr>
          <w:t xml:space="preserve">Submit Bill (po-008)</w:t>
        </w:r>
      </w:hyperlink>
    </w:p>
    <w:p>
      <w:r>
        <w:rPr>
          <w:rFonts w:ascii="Calibri" w:hAnsi="Calibri"/>
        </w:rPr>
        <w:t xml:space="preserve">The supplier enters </w:t>
      </w:r>
      <w:r>
        <w:rPr>
          <w:rFonts w:ascii="Calibri" w:hAnsi="Calibri"/>
          <w:b/>
        </w:rPr>
        <w:t>one amount</w:t>
      </w:r>
      <w:r>
        <w:rPr>
          <w:rFonts w:ascii="Calibri" w:hAnsi="Calibri"/>
        </w:rPr>
        <w:t xml:space="preserve"> (the VAT-inclusive order value being billed) plus a VAT challan confirmation and a file attachment.</w:t>
      </w:r>
    </w:p>
    <w:p>
      <w:pPr>
        <w:pStyle w:val="Heading4"/>
      </w:pPr>
      <w:r>
        <w:rPr>
          <w:rFonts w:ascii="Consolas" w:hAnsi="Consolas" w:cs="Consolas"/>
          <w:b/>
          <w:color w:val="2E74B5"/>
          <w:sz w:val="19"/>
        </w:rPr>
        <w:t>POST /invoices</w:t>
      </w:r>
    </w:p>
    <w:p>
      <w:r>
        <w:rPr>
          <w:rFonts w:ascii="Calibri" w:hAnsi="Calibri"/>
          <w:b/>
        </w:rPr>
        <w:t>Request</w:t>
      </w:r>
      <w:r>
        <w:rPr>
          <w:rFonts w:ascii="Calibri" w:hAnsi="Calibri"/>
        </w:rPr>
        <w:t xml:space="preserve"> (multipart if an attachment is present, otherwise JSON):</w:t>
      </w:r>
    </w:p>
    <w:p>
      <w:pPr>
        <w:spacing w:before="12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  <w:top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{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"poId": "po-001",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"amount": 1840000,                  // VAT-INCLUSIVE amount being billed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"vatChallanSubmitted": true,        // "Mushak 6.3 confirmed as submitted"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"remarks": "Partial billing for first consignment.",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"attachment": "&lt;file: PDF or JPG&gt;"  // optional</w:t>
      </w:r>
    </w:p>
    <w:p>
      <w:pPr>
        <w:spacing w:before="0" w:after="120" w:line="240" w:lineRule="auto"/>
        <w:ind w:left="144" w:right="29"/>
        <w:keepLines w:val="1"/>
        <w:shd w:val="clear" w:color="auto" w:fill="F4F6F8"/>
        <w:pBdr>
          <w:left w:val="single" w:sz="6" w:space="3" w:color="D5DBE1"/>
          <w:right w:val="single" w:sz="6" w:space="3" w:color="D5DBE1"/>
          <w:bottom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}</w:t>
      </w:r>
    </w:p>
    <w:p>
      <w:r>
        <w:rPr>
          <w:rFonts w:ascii="Calibri" w:hAnsi="Calibri"/>
          <w:b/>
        </w:rPr>
        <w:t>Backend computes</w:t>
      </w:r>
      <w:r>
        <w:rPr>
          <w:rFonts w:ascii="Calibri" w:hAnsi="Calibri"/>
        </w:rPr>
        <w:t xml:space="preserve"> (the UI previews these, but the server is authoritative):</w:t>
      </w:r>
    </w:p>
    <w:p>
      <w:pPr>
        <w:spacing w:before="12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  <w:top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subtotal   = round(amount / 1.15)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vatAmount  = round(subtotal × 0.15)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aitAmount  = round(subtotal × 0.03)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totalAmount = subtotal + vatAmount − aitAmount     // "net payable to you"</w:t>
      </w:r>
    </w:p>
    <w:p>
      <w:pPr>
        <w:spacing w:before="0" w:after="120" w:line="240" w:lineRule="auto"/>
        <w:ind w:left="144" w:right="29"/>
        <w:keepLines w:val="1"/>
        <w:shd w:val="clear" w:color="auto" w:fill="F4F6F8"/>
        <w:pBdr>
          <w:left w:val="single" w:sz="6" w:space="3" w:color="D5DBE1"/>
          <w:right w:val="single" w:sz="6" w:space="3" w:color="D5DBE1"/>
          <w:bottom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dueDate     = submission date + 30 days</w:t>
      </w:r>
    </w:p>
    <w:p>
      <w:r>
        <w:rPr>
          <w:rFonts w:ascii="Calibri" w:hAnsi="Calibri"/>
          <w:b/>
        </w:rPr>
        <w:t>Validation:</w:t>
      </w:r>
      <w:r>
        <w:rPr>
          <w:rFonts w:ascii="Calibri" w:hAnsi="Calibri"/>
        </w:rPr>
        <w:t xml:space="preserve"> </w:t>
      </w:r>
      <w:r>
        <w:rPr>
          <w:rFonts w:ascii="Consolas" w:hAnsi="Consolas" w:cs="Consolas"/>
          <w:color w:val="A82C4A"/>
          <w:sz w:val="18"/>
        </w:rPr>
        <w:t>amount &gt; 0</w:t>
      </w:r>
      <w:r>
        <w:rPr>
          <w:rFonts w:ascii="Calibri" w:hAnsi="Calibri"/>
        </w:rPr>
        <w:t xml:space="preserve">; </w:t>
      </w:r>
      <w:r>
        <w:rPr>
          <w:rFonts w:ascii="Consolas" w:hAnsi="Consolas" w:cs="Consolas"/>
          <w:color w:val="A82C4A"/>
          <w:sz w:val="18"/>
        </w:rPr>
        <w:t>amount ≤ po.grandTotal</w:t>
      </w:r>
      <w:r>
        <w:rPr>
          <w:rFonts w:ascii="Calibri" w:hAnsi="Calibri"/>
        </w:rPr>
        <w:t xml:space="preserve"> (minus what is already billed); PO status is billable; caller has </w:t>
      </w:r>
      <w:r>
        <w:rPr>
          <w:rFonts w:ascii="Consolas" w:hAnsi="Consolas" w:cs="Consolas"/>
          <w:color w:val="A82C4A"/>
          <w:sz w:val="18"/>
        </w:rPr>
        <w:t>manage_invoices</w:t>
      </w:r>
      <w:r>
        <w:rPr>
          <w:rFonts w:ascii="Calibri" w:hAnsi="Calibri"/>
        </w:rPr>
        <w:t>.</w:t>
      </w:r>
    </w:p>
    <w:p>
      <w:r>
        <w:rPr>
          <w:rFonts w:ascii="Calibri" w:hAnsi="Calibri"/>
          <w:b/>
        </w:rPr>
        <w:t>Response 201</w:t>
      </w:r>
      <w:r>
        <w:rPr>
          <w:rFonts w:ascii="Calibri" w:hAnsi="Calibri"/>
        </w:rPr>
        <w:t xml:space="preserve"> — the created Invoice object (§13), with </w:t>
      </w:r>
      <w:r>
        <w:rPr>
          <w:rFonts w:ascii="Consolas" w:hAnsi="Consolas" w:cs="Consolas"/>
          <w:color w:val="A82C4A"/>
          <w:sz w:val="18"/>
        </w:rPr>
        <w:t>invoiceNumber</w:t>
      </w:r>
      <w:r>
        <w:rPr>
          <w:rFonts w:ascii="Calibri" w:hAnsi="Calibri"/>
        </w:rPr>
        <w:t xml:space="preserve"> assigned and </w:t>
      </w:r>
      <w:r>
        <w:rPr>
          <w:rFonts w:ascii="Consolas" w:hAnsi="Consolas" w:cs="Consolas"/>
          <w:color w:val="A82C4A"/>
          <w:sz w:val="18"/>
        </w:rPr>
        <w:t>status: "submitted"</w:t>
      </w:r>
      <w:r>
        <w:rPr>
          <w:rFonts w:ascii="Calibri" w:hAnsi="Calibri"/>
        </w:rPr>
        <w:t>.</w:t>
      </w:r>
    </w:p>
    <w:p>
      <w:pPr>
        <w:spacing w:before="60" w:after="60"/>
        <w:ind w:left="317" w:right="115"/>
        <w:shd w:val="clear" w:color="auto" w:fill="FFF8E6"/>
        <w:pBdr>
          <w:left w:val="single" w:sz="18" w:space="8" w:color="E0A800"/>
        </w:pBdr>
      </w:pPr>
      <w:r>
        <w:rPr>
          <w:rFonts w:ascii="Consolas" w:hAnsi="Consolas" w:cs="Consolas"/>
          <w:color w:val="A82C4A"/>
          <w:sz w:val="18"/>
        </w:rPr>
        <w:t>vatChallanSubmitted</w:t>
      </w:r>
      <w:r>
        <w:rPr>
          <w:rFonts w:ascii="Calibri" w:hAnsi="Calibri"/>
        </w:rPr>
        <w:t xml:space="preserve"> and the attachment need </w:t>
      </w:r>
      <w:r>
        <w:rPr>
          <w:rFonts w:ascii="Calibri" w:hAnsi="Calibri"/>
          <w:b/>
        </w:rPr>
        <w:t>first-class fields on the invoice</w:t>
      </w:r>
      <w:r>
        <w:rPr>
          <w:rFonts w:ascii="Calibri" w:hAnsi="Calibri"/>
        </w:rPr>
        <w:t xml:space="preserve">. Today the mock crams the challan flag into a </w:t>
      </w:r>
      <w:r>
        <w:rPr>
          <w:rFonts w:ascii="Consolas" w:hAnsi="Consolas" w:cs="Consolas"/>
          <w:color w:val="A82C4A"/>
          <w:sz w:val="18"/>
        </w:rPr>
        <w:t>timeline[0].note</w:t>
      </w:r>
      <w:r>
        <w:rPr>
          <w:rFonts w:ascii="Calibri" w:hAnsi="Calibri"/>
        </w:rPr>
        <w:t xml:space="preserve"> string and the Payment History screen greps that note text to render a checkbox — that is a hack we want to delete. Please add:</w:t>
      </w:r>
    </w:p>
    <w:p>
      <w:pPr>
        <w:spacing w:before="120" w:after="0" w:line="240" w:lineRule="auto"/>
        <w:ind w:left="288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  <w:top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"vatChallanSubmitted": true,</w:t>
      </w:r>
    </w:p>
    <w:p>
      <w:pPr>
        <w:spacing w:before="0" w:after="0" w:line="240" w:lineRule="auto"/>
        <w:ind w:left="288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"vatChallanNumber": "MUSHAK-6.3-2026-0912",   // if you capture it</w:t>
      </w:r>
    </w:p>
    <w:p>
      <w:pPr>
        <w:spacing w:before="0" w:after="0" w:line="240" w:lineRule="auto"/>
        <w:ind w:left="288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"attachmentUrl": "https://.../bill-0912.pdf",</w:t>
      </w:r>
    </w:p>
    <w:p>
      <w:pPr>
        <w:spacing w:before="0" w:after="120" w:line="240" w:lineRule="auto"/>
        <w:ind w:left="288" w:right="29"/>
        <w:keepLines w:val="1"/>
        <w:shd w:val="clear" w:color="auto" w:fill="F4F6F8"/>
        <w:pBdr>
          <w:left w:val="single" w:sz="6" w:space="3" w:color="D5DBE1"/>
          <w:right w:val="single" w:sz="6" w:space="3" w:color="D5DBE1"/>
          <w:bottom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"attachmentName": "bill-0912.pdf"</w:t>
      </w:r>
    </w:p>
    <w:p>
      <w:pPr>
        <w:spacing w:before="80" w:after="200"/>
        <w:pBdr>
          <w:bottom w:val="single" w:sz="6" w:space="1" w:color="DCE3EA"/>
        </w:pBdr>
      </w:pPr>
    </w:p>
    <w:p>
      <w:pPr>
        <w:pStyle w:val="Heading3"/>
      </w:pPr>
      <w:r>
        <w:rPr>
          <w:rFonts w:ascii="Calibri" w:hAnsi="Calibri"/>
          <w:b/>
          <w:color w:val="2E74B5"/>
          <w:sz w:val="25"/>
        </w:rPr>
        <w:t xml:space="preserve">11. Payment History — </w:t>
      </w:r>
      <w:r>
        <w:rPr>
          <w:rFonts w:ascii="Consolas" w:hAnsi="Consolas" w:cs="Consolas"/>
          <w:b/>
          <w:color w:val="2E74B5"/>
          <w:sz w:val="22"/>
        </w:rPr>
        <w:t>/app/payments</w:t>
      </w:r>
    </w:p>
    <w:p>
      <w:r>
        <w:rPr>
          <w:rFonts w:ascii="Calibri" w:hAnsi="Calibri"/>
          <w:b/>
        </w:rPr>
        <w:t>Open screen:</w:t>
      </w:r>
      <w:r>
        <w:rPr>
          <w:rFonts w:ascii="Calibri" w:hAnsi="Calibri"/>
        </w:rPr>
        <w:t xml:space="preserve"> </w:t>
      </w:r>
      <w:hyperlink r:id="rId22">
        <w:r>
          <w:rPr>
            <w:rFonts w:ascii="Calibri" w:hAnsi="Calibri" w:cs="Calibri"/>
            <w:color w:val="0B5CAB"/>
            <w:u w:val="single"/>
          </w:rPr>
          <w:t xml:space="preserve">Payment History</w:t>
        </w:r>
      </w:hyperlink>
    </w:p>
    <w:p>
      <w:r>
        <w:rPr>
          <w:rFonts w:ascii="Calibri" w:hAnsi="Calibri"/>
        </w:rPr>
        <w:t>Shows three summary tiles (Total Gross · Total Deductions · Net Received) and a table of billed POs.</w:t>
      </w:r>
    </w:p>
    <w:p>
      <w:pPr>
        <w:pStyle w:val="Heading4"/>
      </w:pPr>
      <w:r>
        <w:rPr>
          <w:rFonts w:ascii="Consolas" w:hAnsi="Consolas" w:cs="Consolas"/>
          <w:b/>
          <w:color w:val="2E74B5"/>
          <w:sz w:val="19"/>
        </w:rPr>
        <w:t>GET /payments?from={ISO}&amp;to={ISO}</w:t>
      </w:r>
    </w:p>
    <w:p>
      <w:r>
        <w:rPr>
          <w:rFonts w:ascii="Calibri" w:hAnsi="Calibri"/>
        </w:rPr>
        <w:t xml:space="preserve">Sorted by </w:t>
      </w:r>
      <w:r>
        <w:rPr>
          <w:rFonts w:ascii="Consolas" w:hAnsi="Consolas" w:cs="Consolas"/>
          <w:color w:val="A82C4A"/>
          <w:sz w:val="18"/>
        </w:rPr>
        <w:t>paymentDate</w:t>
      </w:r>
      <w:r>
        <w:rPr>
          <w:rFonts w:ascii="Calibri" w:hAnsi="Calibri"/>
        </w:rPr>
        <w:t xml:space="preserve"> descending.</w:t>
      </w:r>
    </w:p>
    <w:p>
      <w:pPr>
        <w:spacing w:before="12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  <w:top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[{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"id": "pay-001",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"invoiceId": "inv-001",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"invoiceNumber": "INV-2026-0009",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"poNumber": "PO-2026-0014",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"paymentDate": "2026-08-18T00:00:00.000Z",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 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"grossAmount": 1600000,          // = invoice subtotal (taxable value)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"vatDeductedAtSource": 120000,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"aitDeduction": 48000,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"tdsDeduction": 48000,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"netAmountPaid": 1384000,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 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"bankTransferRef": "BEFTN-20260818-99123",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"bankName": "BRAC Bank Ltd.",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"accountNumber": "••••4471",     // MASK SERVER-SIDE — do not send the full number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"status": "paid"</w:t>
      </w:r>
    </w:p>
    <w:p>
      <w:pPr>
        <w:spacing w:before="0" w:after="120" w:line="240" w:lineRule="auto"/>
        <w:ind w:left="144" w:right="29"/>
        <w:keepLines w:val="1"/>
        <w:shd w:val="clear" w:color="auto" w:fill="F4F6F8"/>
        <w:pBdr>
          <w:left w:val="single" w:sz="6" w:space="3" w:color="D5DBE1"/>
          <w:right w:val="single" w:sz="6" w:space="3" w:color="D5DBE1"/>
          <w:bottom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}]</w:t>
      </w:r>
    </w:p>
    <w:p>
      <w:r>
        <w:rPr>
          <w:rFonts w:ascii="Calibri" w:hAnsi="Calibri"/>
        </w:rPr>
        <w:t xml:space="preserve">Summary tiles: </w:t>
      </w:r>
      <w:r>
        <w:rPr>
          <w:rFonts w:ascii="Consolas" w:hAnsi="Consolas" w:cs="Consolas"/>
          <w:color w:val="A82C4A"/>
          <w:sz w:val="18"/>
        </w:rPr>
        <w:t>totalGross = Σ grossAmount</w:t>
      </w:r>
      <w:r>
        <w:rPr>
          <w:rFonts w:ascii="Calibri" w:hAnsi="Calibri"/>
        </w:rPr>
        <w:t xml:space="preserve">, </w:t>
      </w:r>
      <w:r>
        <w:rPr>
          <w:rFonts w:ascii="Consolas" w:hAnsi="Consolas" w:cs="Consolas"/>
          <w:color w:val="A82C4A"/>
          <w:sz w:val="18"/>
        </w:rPr>
        <w:t>totalDeductions = Σ (vat + ait + tds)</w:t>
      </w:r>
      <w:r>
        <w:rPr>
          <w:rFonts w:ascii="Calibri" w:hAnsi="Calibri"/>
        </w:rPr>
        <w:t xml:space="preserve">, </w:t>
      </w:r>
      <w:r>
        <w:rPr>
          <w:rFonts w:ascii="Consolas" w:hAnsi="Consolas" w:cs="Consolas"/>
          <w:color w:val="A82C4A"/>
          <w:sz w:val="18"/>
        </w:rPr>
        <w:t>netReceived = Σ netAmountPaid</w:t>
      </w:r>
      <w:r>
        <w:rPr>
          <w:rFonts w:ascii="Calibri" w:hAnsi="Calibri"/>
        </w:rPr>
        <w:t xml:space="preserve">. Happy to keep summing client-side, or take a </w:t>
      </w:r>
      <w:r>
        <w:rPr>
          <w:rFonts w:ascii="Consolas" w:hAnsi="Consolas" w:cs="Consolas"/>
          <w:color w:val="A82C4A"/>
          <w:sz w:val="18"/>
        </w:rPr>
        <w:t>GET /payments/summary</w:t>
      </w:r>
      <w:r>
        <w:rPr>
          <w:rFonts w:ascii="Calibri" w:hAnsi="Calibri"/>
        </w:rPr>
        <w:t xml:space="preserve"> — your call.</w:t>
      </w:r>
    </w:p>
    <w:p>
      <w:r>
        <w:rPr>
          <w:rFonts w:ascii="Calibri" w:hAnsi="Calibri"/>
        </w:rPr>
        <w:t>The table rows are POs, built by joining payments → invoices → POs client-side. Same note as §9: a single purpose-built endpoint would be cleaner.</w:t>
      </w:r>
    </w:p>
    <w:p>
      <w:pPr>
        <w:spacing w:before="80" w:after="200"/>
        <w:pBdr>
          <w:bottom w:val="single" w:sz="6" w:space="1" w:color="DCE3EA"/>
        </w:pBdr>
      </w:pPr>
    </w:p>
    <w:p>
      <w:pPr>
        <w:pStyle w:val="Heading3"/>
      </w:pPr>
      <w:r>
        <w:rPr>
          <w:rFonts w:ascii="Calibri" w:hAnsi="Calibri"/>
          <w:b/>
          <w:color w:val="2E74B5"/>
          <w:sz w:val="25"/>
        </w:rPr>
        <w:t xml:space="preserve">12–14. Invoices — </w:t>
      </w:r>
      <w:r>
        <w:rPr>
          <w:rFonts w:ascii="Consolas" w:hAnsi="Consolas" w:cs="Consolas"/>
          <w:b/>
          <w:color w:val="2E74B5"/>
          <w:sz w:val="22"/>
        </w:rPr>
        <w:t>/app/invoices</w:t>
      </w:r>
      <w:r>
        <w:rPr>
          <w:rFonts w:ascii="Calibri" w:hAnsi="Calibri"/>
          <w:b/>
          <w:color w:val="2E74B5"/>
          <w:sz w:val="25"/>
        </w:rPr>
        <w:t xml:space="preserve">, </w:t>
      </w:r>
      <w:r>
        <w:rPr>
          <w:rFonts w:ascii="Consolas" w:hAnsi="Consolas" w:cs="Consolas"/>
          <w:b/>
          <w:color w:val="2E74B5"/>
          <w:sz w:val="22"/>
        </w:rPr>
        <w:t>/app/invoices/{id}</w:t>
      </w:r>
      <w:r>
        <w:rPr>
          <w:rFonts w:ascii="Calibri" w:hAnsi="Calibri"/>
          <w:b/>
          <w:color w:val="2E74B5"/>
          <w:sz w:val="25"/>
        </w:rPr>
        <w:t xml:space="preserve">, </w:t>
      </w:r>
      <w:r>
        <w:rPr>
          <w:rFonts w:ascii="Consolas" w:hAnsi="Consolas" w:cs="Consolas"/>
          <w:b/>
          <w:color w:val="2E74B5"/>
          <w:sz w:val="22"/>
        </w:rPr>
        <w:t>/app/invoices/new</w:t>
      </w:r>
    </w:p>
    <w:p>
      <w:r>
        <w:rPr>
          <w:rFonts w:ascii="Calibri" w:hAnsi="Calibri"/>
          <w:b/>
        </w:rPr>
        <w:t>Open screen:</w:t>
      </w:r>
      <w:r>
        <w:rPr>
          <w:rFonts w:ascii="Calibri" w:hAnsi="Calibri"/>
        </w:rPr>
        <w:t xml:space="preserve"> </w:t>
      </w:r>
      <w:hyperlink r:id="rId23">
        <w:r>
          <w:rPr>
            <w:rFonts w:ascii="Calibri" w:hAnsi="Calibri" w:cs="Calibri"/>
            <w:color w:val="0B5CAB"/>
            <w:u w:val="single"/>
          </w:rPr>
          <w:t xml:space="preserve">Invoices list</w:t>
        </w:r>
      </w:hyperlink>
      <w:r>
        <w:rPr>
          <w:rFonts w:ascii="Calibri" w:hAnsi="Calibri"/>
        </w:rPr>
        <w:t xml:space="preserve">  ·  </w:t>
      </w:r>
      <w:hyperlink r:id="rId24">
        <w:r>
          <w:rPr>
            <w:rFonts w:ascii="Calibri" w:hAnsi="Calibri" w:cs="Calibri"/>
            <w:color w:val="0B5CAB"/>
            <w:u w:val="single"/>
          </w:rPr>
          <w:t xml:space="preserve">Invoice detail (inv-001)</w:t>
        </w:r>
      </w:hyperlink>
      <w:r>
        <w:rPr>
          <w:rFonts w:ascii="Calibri" w:hAnsi="Calibri"/>
        </w:rPr>
        <w:t xml:space="preserve">  ·  </w:t>
      </w:r>
      <w:hyperlink r:id="rId25">
        <w:r>
          <w:rPr>
            <w:rFonts w:ascii="Calibri" w:hAnsi="Calibri" w:cs="Calibri"/>
            <w:color w:val="0B5CAB"/>
            <w:u w:val="single"/>
          </w:rPr>
          <w:t xml:space="preserve">New invoice form</w:t>
        </w:r>
      </w:hyperlink>
    </w:p>
    <w:p>
      <w:r>
        <w:rPr>
          <w:rFonts w:ascii="Calibri" w:hAnsi="Calibri"/>
        </w:rPr>
        <w:t xml:space="preserve">These routes exist and work, but </w:t>
      </w:r>
      <w:r>
        <w:rPr>
          <w:rFonts w:ascii="Calibri" w:hAnsi="Calibri"/>
          <w:b/>
        </w:rPr>
        <w:t>are currently hidden from the sidebar</w:t>
      </w:r>
      <w:r>
        <w:rPr>
          <w:rFonts w:ascii="Calibri" w:hAnsi="Calibri"/>
        </w:rPr>
        <w:t xml:space="preserve"> — Bill Submission (§9/§10) is the supported path. They are linked from Order detail and Reports, so the endpoints are still needed.</w:t>
      </w:r>
    </w:p>
    <w:p>
      <w:pPr>
        <w:pStyle w:val="Heading4"/>
      </w:pPr>
      <w:r>
        <w:rPr>
          <w:rFonts w:ascii="Consolas" w:hAnsi="Consolas" w:cs="Consolas"/>
          <w:b/>
          <w:color w:val="2E74B5"/>
          <w:sz w:val="19"/>
        </w:rPr>
        <w:t>GET /invoices?status={InvoiceStatus|all}&amp;search={string}&amp;from={ISO}&amp;to={ISO}</w:t>
      </w:r>
    </w:p>
    <w:p>
      <w:r>
        <w:rPr>
          <w:rFonts w:ascii="Consolas" w:hAnsi="Consolas" w:cs="Consolas"/>
          <w:color w:val="A82C4A"/>
          <w:sz w:val="18"/>
        </w:rPr>
        <w:t>search</w:t>
      </w:r>
      <w:r>
        <w:rPr>
          <w:rFonts w:ascii="Calibri" w:hAnsi="Calibri"/>
        </w:rPr>
        <w:t xml:space="preserve"> matches invoice number or PO number. Sorted by </w:t>
      </w:r>
      <w:r>
        <w:rPr>
          <w:rFonts w:ascii="Consolas" w:hAnsi="Consolas" w:cs="Consolas"/>
          <w:color w:val="A82C4A"/>
          <w:sz w:val="18"/>
        </w:rPr>
        <w:t>invoiceDate</w:t>
      </w:r>
      <w:r>
        <w:rPr>
          <w:rFonts w:ascii="Calibri" w:hAnsi="Calibri"/>
        </w:rPr>
        <w:t xml:space="preserve"> descending.</w:t>
      </w:r>
    </w:p>
    <w:p>
      <w:pPr>
        <w:pStyle w:val="Heading4"/>
      </w:pPr>
      <w:r>
        <w:rPr>
          <w:rFonts w:ascii="Consolas" w:hAnsi="Consolas" w:cs="Consolas"/>
          <w:b/>
          <w:color w:val="2E74B5"/>
          <w:sz w:val="19"/>
        </w:rPr>
        <w:t>GET /invoices/{id}</w:t>
      </w:r>
    </w:p>
    <w:p>
      <w:pPr>
        <w:spacing w:before="12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  <w:top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{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"id": "inv-001",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"invoiceNumber": "INV-2026-0009",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"supplierId": "SP-2024-001",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"poId": "po-001",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"poNumber": "PO-2026-0014",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 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"invoiceDate": "2026-08-12T00:00:00.000Z",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"dueDate": "2026-09-11T00:00:00.000Z",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"submittedAt": "2026-08-12T11:05:00.000Z",   // optional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 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"items": [{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"id": "invi-001",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"poLineItemId": "poli-001",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"description": "5-ply corrugated carton",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"unit": "pcs",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"quantity": 50000,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"unitPrice": 32,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"totalPrice": 1600000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}],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 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"subtotal": 1600000,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"vatAmount": 240000,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"aitAmount": 48000,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"tdsAmount": 0,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"totalAmount": 1792000,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 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"status": "approved",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"rejectionReason": "Quantity mismatch against GRN",  // only when status=rejected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"approvedBy": "Tanvir Ahmed",                        // optional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"approvedAt": "2026-08-20T07:30:00.000Z",            // optional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"paidAt": "2026-08-25T00:00:00.000Z",                // optional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"paymentRef": "BEFTN-20260825-77431",                // optional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 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"timeline": [{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"status": "submitted",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"timestamp": "2026-08-12T11:05:00.000Z",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"actor": "Ahsan Kabir",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"note": "Invoice submitted via supplier portal"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}]</w:t>
      </w:r>
    </w:p>
    <w:p>
      <w:pPr>
        <w:spacing w:before="0" w:after="12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  <w:bottom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}</w:t>
      </w:r>
    </w:p>
    <w:p>
      <w:pPr>
        <w:pStyle w:val="Heading4"/>
      </w:pPr>
      <w:r>
        <w:rPr>
          <w:rFonts w:ascii="Consolas" w:hAnsi="Consolas" w:cs="Consolas"/>
          <w:b/>
          <w:color w:val="2E74B5"/>
          <w:sz w:val="19"/>
        </w:rPr>
        <w:t>GET /purchase-orders/acknowledged</w:t>
      </w:r>
    </w:p>
    <w:p>
      <w:r>
        <w:rPr>
          <w:rFonts w:ascii="Calibri" w:hAnsi="Calibri"/>
        </w:rPr>
        <w:t xml:space="preserve">Used by the "new invoice" form to populate the PO dropdown. Returns POs with status </w:t>
      </w:r>
      <w:r>
        <w:rPr>
          <w:rFonts w:ascii="Consolas" w:hAnsi="Consolas" w:cs="Consolas"/>
          <w:color w:val="A82C4A"/>
          <w:sz w:val="18"/>
        </w:rPr>
        <w:t>acknowledged</w:t>
      </w:r>
      <w:r>
        <w:rPr>
          <w:rFonts w:ascii="Calibri" w:hAnsi="Calibri"/>
        </w:rPr>
        <w:t xml:space="preserve"> or </w:t>
      </w:r>
      <w:r>
        <w:rPr>
          <w:rFonts w:ascii="Consolas" w:hAnsi="Consolas" w:cs="Consolas"/>
          <w:color w:val="A82C4A"/>
          <w:sz w:val="18"/>
        </w:rPr>
        <w:t>partially_fulfilled</w:t>
      </w:r>
      <w:r>
        <w:rPr>
          <w:rFonts w:ascii="Calibri" w:hAnsi="Calibri"/>
        </w:rPr>
        <w:t xml:space="preserve"> — full PO objects (the form needs </w:t>
      </w:r>
      <w:r>
        <w:rPr>
          <w:rFonts w:ascii="Consolas" w:hAnsi="Consolas" w:cs="Consolas"/>
          <w:color w:val="A82C4A"/>
          <w:sz w:val="18"/>
        </w:rPr>
        <w:t>items</w:t>
      </w:r>
      <w:r>
        <w:rPr>
          <w:rFonts w:ascii="Calibri" w:hAnsi="Calibri"/>
        </w:rPr>
        <w:t xml:space="preserve"> to prefill line quantities and prices).</w:t>
      </w:r>
    </w:p>
    <w:p>
      <w:pPr>
        <w:spacing w:before="80" w:after="200"/>
        <w:pBdr>
          <w:bottom w:val="single" w:sz="6" w:space="1" w:color="DCE3EA"/>
        </w:pBdr>
      </w:pPr>
    </w:p>
    <w:p>
      <w:pPr>
        <w:pStyle w:val="Heading3"/>
      </w:pPr>
      <w:r>
        <w:rPr>
          <w:rFonts w:ascii="Calibri" w:hAnsi="Calibri"/>
          <w:b/>
          <w:color w:val="2E74B5"/>
          <w:sz w:val="25"/>
        </w:rPr>
        <w:t xml:space="preserve">15. Compliance Documents — </w:t>
      </w:r>
      <w:r>
        <w:rPr>
          <w:rFonts w:ascii="Consolas" w:hAnsi="Consolas" w:cs="Consolas"/>
          <w:b/>
          <w:color w:val="2E74B5"/>
          <w:sz w:val="22"/>
        </w:rPr>
        <w:t>/app/documents</w:t>
      </w:r>
    </w:p>
    <w:p>
      <w:r>
        <w:rPr>
          <w:rFonts w:ascii="Calibri" w:hAnsi="Calibri"/>
          <w:b/>
        </w:rPr>
        <w:t>Open screen:</w:t>
      </w:r>
      <w:r>
        <w:rPr>
          <w:rFonts w:ascii="Calibri" w:hAnsi="Calibri"/>
        </w:rPr>
        <w:t xml:space="preserve"> </w:t>
      </w:r>
      <w:hyperlink r:id="rId26">
        <w:r>
          <w:rPr>
            <w:rFonts w:ascii="Calibri" w:hAnsi="Calibri" w:cs="Calibri"/>
            <w:color w:val="0B5CAB"/>
            <w:u w:val="single"/>
          </w:rPr>
          <w:t xml:space="preserve">Compliance Documents</w:t>
        </w:r>
      </w:hyperlink>
    </w:p>
    <w:p>
      <w:pPr>
        <w:pStyle w:val="Heading4"/>
      </w:pPr>
      <w:r>
        <w:rPr>
          <w:rFonts w:ascii="Consolas" w:hAnsi="Consolas" w:cs="Consolas"/>
          <w:b/>
          <w:color w:val="2E74B5"/>
          <w:sz w:val="19"/>
        </w:rPr>
        <w:t>GET /documents</w:t>
      </w:r>
    </w:p>
    <w:p>
      <w:pPr>
        <w:spacing w:before="12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  <w:top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[{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"id": "doc-001",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"type": "trade_license",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"displayName": "Trade License 2026",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"documentNumber": "TRAD/DHK/2019/44120",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"issuingAuthority": "Dhaka North City Corporation",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"issuedDate": "2026-01-05T00:00:00.000Z",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"expiryDate": "2026-12-31T00:00:00.000Z",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"status": "expiring_soon",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"uploadedAt": "2026-01-10T00:00:00.000Z",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"verifiedAt": "2026-01-12T00:00:00.000Z",   // optional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"fileSize": "1.2 MB",                        // pre-formatted string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"fileUrl": "https://.../trade-license.pdf"   // NEEDED — download button is a stub today</w:t>
      </w:r>
    </w:p>
    <w:p>
      <w:pPr>
        <w:spacing w:before="0" w:after="120" w:line="240" w:lineRule="auto"/>
        <w:ind w:left="144" w:right="29"/>
        <w:keepLines w:val="1"/>
        <w:shd w:val="clear" w:color="auto" w:fill="F4F6F8"/>
        <w:pBdr>
          <w:left w:val="single" w:sz="6" w:space="3" w:color="D5DBE1"/>
          <w:right w:val="single" w:sz="6" w:space="3" w:color="D5DBE1"/>
          <w:bottom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}]</w:t>
      </w:r>
    </w:p>
    <w:p>
      <w:r>
        <w:rPr>
          <w:rFonts w:ascii="Consolas" w:hAnsi="Consolas" w:cs="Consolas"/>
          <w:color w:val="A82C4A"/>
          <w:sz w:val="18"/>
        </w:rPr>
        <w:t>status</w:t>
      </w:r>
      <w:r>
        <w:rPr>
          <w:rFonts w:ascii="Calibri" w:hAnsi="Calibri"/>
        </w:rPr>
        <w:t xml:space="preserve"> must be </w:t>
      </w:r>
      <w:r>
        <w:rPr>
          <w:rFonts w:ascii="Calibri" w:hAnsi="Calibri"/>
          <w:b/>
        </w:rPr>
        <w:t>computed server-side</w:t>
      </w:r>
      <w:r>
        <w:rPr>
          <w:rFonts w:ascii="Calibri" w:hAnsi="Calibri"/>
        </w:rPr>
        <w:t xml:space="preserve"> from </w:t>
      </w:r>
      <w:r>
        <w:rPr>
          <w:rFonts w:ascii="Consolas" w:hAnsi="Consolas" w:cs="Consolas"/>
          <w:color w:val="A82C4A"/>
          <w:sz w:val="18"/>
        </w:rPr>
        <w:t>expiryDate</w:t>
      </w:r>
      <w:r>
        <w:rPr>
          <w:rFonts w:ascii="Calibri" w:hAnsi="Calibri"/>
        </w:rPr>
        <w:t xml:space="preserve"> (the "expiring soon" window is a business rule, not a UI rule). The screen shows a red banner for </w:t>
      </w:r>
      <w:r>
        <w:rPr>
          <w:rFonts w:ascii="Consolas" w:hAnsi="Consolas" w:cs="Consolas"/>
          <w:color w:val="A82C4A"/>
          <w:sz w:val="18"/>
        </w:rPr>
        <w:t>expired</w:t>
      </w:r>
      <w:r>
        <w:rPr>
          <w:rFonts w:ascii="Calibri" w:hAnsi="Calibri"/>
        </w:rPr>
        <w:t xml:space="preserve"> and an amber one for </w:t>
      </w:r>
      <w:r>
        <w:rPr>
          <w:rFonts w:ascii="Consolas" w:hAnsi="Consolas" w:cs="Consolas"/>
          <w:color w:val="A82C4A"/>
          <w:sz w:val="18"/>
        </w:rPr>
        <w:t>expiring_soon</w:t>
      </w:r>
      <w:r>
        <w:rPr>
          <w:rFonts w:ascii="Calibri" w:hAnsi="Calibri"/>
        </w:rPr>
        <w:t>.</w:t>
      </w:r>
    </w:p>
    <w:p>
      <w:pPr>
        <w:pStyle w:val="Heading4"/>
      </w:pPr>
      <w:r>
        <w:rPr>
          <w:rFonts w:ascii="Consolas" w:hAnsi="Consolas" w:cs="Consolas"/>
          <w:b/>
          <w:color w:val="2E74B5"/>
          <w:sz w:val="19"/>
        </w:rPr>
        <w:t>POST /documents</w:t>
      </w:r>
      <w:r>
        <w:rPr>
          <w:rFonts w:ascii="Calibri" w:hAnsi="Calibri"/>
          <w:b/>
          <w:color w:val="2E74B5"/>
          <w:sz w:val="22"/>
        </w:rPr>
        <w:t xml:space="preserve"> </w:t>
      </w:r>
      <w:r>
        <w:rPr>
          <w:rFonts w:ascii="Calibri" w:hAnsi="Calibri"/>
          <w:b/>
          <w:i/>
          <w:color w:val="2E74B5"/>
          <w:sz w:val="22"/>
        </w:rPr>
        <w:t>(multipart — upload button is a stub today, wire when ready)</w:t>
      </w:r>
    </w:p>
    <w:p>
      <w:pPr>
        <w:spacing w:before="12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  <w:top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type: "trade_license"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documentNumber: "TRAD/DHK/2019/44120"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issuingAuthority: "Dhaka North City Corporation"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issuedDate: "2026-01-05"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expiryDate: "2026-12-31"</w:t>
      </w:r>
    </w:p>
    <w:p>
      <w:pPr>
        <w:spacing w:before="0" w:after="120" w:line="240" w:lineRule="auto"/>
        <w:ind w:left="144" w:right="29"/>
        <w:keepLines w:val="1"/>
        <w:shd w:val="clear" w:color="auto" w:fill="F4F6F8"/>
        <w:pBdr>
          <w:left w:val="single" w:sz="6" w:space="3" w:color="D5DBE1"/>
          <w:right w:val="single" w:sz="6" w:space="3" w:color="D5DBE1"/>
          <w:bottom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file: &lt;binary&gt;</w:t>
      </w:r>
    </w:p>
    <w:p>
      <w:r>
        <w:rPr>
          <w:rFonts w:ascii="Calibri" w:hAnsi="Calibri"/>
        </w:rPr>
        <w:t xml:space="preserve">Response 201 — the created document object. Requires </w:t>
      </w:r>
      <w:r>
        <w:rPr>
          <w:rFonts w:ascii="Consolas" w:hAnsi="Consolas" w:cs="Consolas"/>
          <w:color w:val="A82C4A"/>
          <w:sz w:val="18"/>
        </w:rPr>
        <w:t>upload_documents</w:t>
      </w:r>
      <w:r>
        <w:rPr>
          <w:rFonts w:ascii="Calibri" w:hAnsi="Calibri"/>
        </w:rPr>
        <w:t>.</w:t>
      </w:r>
    </w:p>
    <w:p>
      <w:pPr>
        <w:spacing w:before="80" w:after="200"/>
        <w:pBdr>
          <w:bottom w:val="single" w:sz="6" w:space="1" w:color="DCE3EA"/>
        </w:pBdr>
      </w:pPr>
    </w:p>
    <w:p>
      <w:pPr>
        <w:pStyle w:val="Heading3"/>
      </w:pPr>
      <w:r>
        <w:rPr>
          <w:rFonts w:ascii="Calibri" w:hAnsi="Calibri"/>
          <w:b/>
          <w:color w:val="2E74B5"/>
          <w:sz w:val="25"/>
        </w:rPr>
        <w:t xml:space="preserve">16. Reports — </w:t>
      </w:r>
      <w:r>
        <w:rPr>
          <w:rFonts w:ascii="Consolas" w:hAnsi="Consolas" w:cs="Consolas"/>
          <w:b/>
          <w:color w:val="2E74B5"/>
          <w:sz w:val="22"/>
        </w:rPr>
        <w:t>/app/reports</w:t>
      </w:r>
    </w:p>
    <w:p>
      <w:r>
        <w:rPr>
          <w:rFonts w:ascii="Calibri" w:hAnsi="Calibri"/>
          <w:b/>
        </w:rPr>
        <w:t>Open screen:</w:t>
      </w:r>
      <w:r>
        <w:rPr>
          <w:rFonts w:ascii="Calibri" w:hAnsi="Calibri"/>
        </w:rPr>
        <w:t xml:space="preserve"> </w:t>
      </w:r>
      <w:hyperlink r:id="rId27">
        <w:r>
          <w:rPr>
            <w:rFonts w:ascii="Calibri" w:hAnsi="Calibri" w:cs="Calibri"/>
            <w:color w:val="0B5CAB"/>
            <w:u w:val="single"/>
          </w:rPr>
          <w:t xml:space="preserve">Reports</w:t>
        </w:r>
      </w:hyperlink>
    </w:p>
    <w:p>
      <w:r>
        <w:rPr>
          <w:rFonts w:ascii="Calibri" w:hAnsi="Calibri"/>
        </w:rPr>
        <w:t xml:space="preserve">Three tabs, all built client-side today from </w:t>
      </w:r>
      <w:r>
        <w:rPr>
          <w:rFonts w:ascii="Consolas" w:hAnsi="Consolas" w:cs="Consolas"/>
          <w:color w:val="A82C4A"/>
          <w:sz w:val="18"/>
        </w:rPr>
        <w:t>GET /invoices</w:t>
      </w:r>
      <w:r>
        <w:rPr>
          <w:rFonts w:ascii="Calibri" w:hAnsi="Calibri"/>
        </w:rPr>
        <w:t xml:space="preserve">, </w:t>
      </w:r>
      <w:r>
        <w:rPr>
          <w:rFonts w:ascii="Consolas" w:hAnsi="Consolas" w:cs="Consolas"/>
          <w:color w:val="A82C4A"/>
          <w:sz w:val="18"/>
        </w:rPr>
        <w:t>GET /purchase-orders</w:t>
      </w:r>
      <w:r>
        <w:rPr>
          <w:rFonts w:ascii="Calibri" w:hAnsi="Calibri"/>
        </w:rPr>
        <w:t xml:space="preserve">, </w:t>
      </w:r>
      <w:r>
        <w:rPr>
          <w:rFonts w:ascii="Consolas" w:hAnsi="Consolas" w:cs="Consolas"/>
          <w:color w:val="A82C4A"/>
          <w:sz w:val="18"/>
        </w:rPr>
        <w:t>GET /challans</w:t>
      </w:r>
      <w:r>
        <w:rPr>
          <w:rFonts w:ascii="Calibri" w:hAnsi="Calibri"/>
        </w:rPr>
        <w:t xml:space="preserve">, and </w:t>
      </w:r>
      <w:r>
        <w:rPr>
          <w:rFonts w:ascii="Consolas" w:hAnsi="Consolas" w:cs="Consolas"/>
          <w:color w:val="A82C4A"/>
          <w:sz w:val="18"/>
        </w:rPr>
        <w:t>GET /dashboard/kpi</w:t>
      </w:r>
      <w:r>
        <w:rPr>
          <w:rFonts w:ascii="Calibri" w:hAnsi="Calibri"/>
        </w:rPr>
        <w:t xml:space="preserve">. </w:t>
      </w:r>
      <w:r>
        <w:rPr>
          <w:rFonts w:ascii="Calibri" w:hAnsi="Calibri"/>
          <w:b/>
        </w:rPr>
        <w:t>Prime candidates for server-side reports</w:t>
      </w:r>
      <w:r>
        <w:rPr>
          <w:rFonts w:ascii="Calibri" w:hAnsi="Calibri"/>
        </w:rPr>
        <w:t xml:space="preserve"> — the logic below is the spec if you want to move it into iDempiere.</w:t>
      </w:r>
    </w:p>
    <w:tbl>
      <w:tblPr>
        <w:tblStyle w:val="TableGrid"/>
        <w:tblW w:type="dxa" w:w="9604"/>
        <w:tblLayout w:type="fixed"/>
        <w:tblLook w:firstColumn="1" w:firstRow="1" w:lastColumn="0" w:lastRow="0" w:noHBand="0" w:noVBand="1" w:val="04A0"/>
        <w:tblBorders>
          <w:top w:val="single" w:sz="4" w:space="0" w:color="C6CED6"/>
          <w:left w:val="single" w:sz="4" w:space="0" w:color="C6CED6"/>
          <w:bottom w:val="single" w:sz="4" w:space="0" w:color="C6CED6"/>
          <w:right w:val="single" w:sz="4" w:space="0" w:color="C6CED6"/>
          <w:insideH w:val="single" w:sz="4" w:space="0" w:color="C6CED6"/>
          <w:insideV w:val="single" w:sz="4" w:space="0" w:color="C6CED6"/>
        </w:tblBorders>
        <w:tblLayout w:type="fixed"/>
      </w:tblPr>
      <w:tblGrid>
        <w:gridCol w:w="1258"/>
        <w:gridCol w:w="2114"/>
        <w:gridCol w:w="6232"/>
      </w:tblGrid>
      <w:tr>
        <w:trPr>
          <w:tblHeader w:val="true"/>
          <w:cantSplit w:val="true"/>
        </w:trPr>
        <w:tc>
          <w:tcPr>
            <w:tcW w:type="dxa" w:w="1259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Tab</w:t>
            </w:r>
          </w:p>
        </w:tc>
        <w:tc>
          <w:tcPr>
            <w:tcW w:type="dxa" w:w="2114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Rows</w:t>
            </w:r>
          </w:p>
        </w:tc>
        <w:tc>
          <w:tcPr>
            <w:tcW w:type="dxa" w:w="6232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Derivation</w:t>
            </w:r>
          </w:p>
        </w:tc>
      </w:tr>
      <w:tr>
        <w:trPr>
          <w:cantSplit w:val="true"/>
        </w:trPr>
        <w:tc>
          <w:tcPr>
            <w:tcW w:type="dxa" w:w="125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Receivables Ageing</w:t>
            </w:r>
          </w:p>
        </w:tc>
        <w:tc>
          <w:tcPr>
            <w:tcW w:type="dxa" w:w="211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 xml:space="preserve">One per invoice with status </w:t>
            </w:r>
            <w:r>
              <w:rPr>
                <w:rFonts w:ascii="Consolas" w:hAnsi="Consolas" w:cs="Consolas"/>
                <w:color w:val="A82C4A"/>
                <w:sz w:val="17"/>
              </w:rPr>
              <w:t>submitted \| under_review \| approved</w:t>
            </w:r>
          </w:p>
        </w:tc>
        <w:tc>
          <w:tcPr>
            <w:tcW w:type="dxa" w:w="623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7"/>
              </w:rPr>
              <w:t>displayStatus = "overdue"</w:t>
            </w:r>
            <w:r>
              <w:rPr>
                <w:rFonts w:ascii="Calibri" w:hAnsi="Calibri"/>
                <w:sz w:val="19"/>
              </w:rPr>
              <w:t xml:space="preserve"> if </w:t>
            </w:r>
            <w:r>
              <w:rPr>
                <w:rFonts w:ascii="Consolas" w:hAnsi="Consolas" w:cs="Consolas"/>
                <w:color w:val="A82C4A"/>
                <w:sz w:val="17"/>
              </w:rPr>
              <w:t>dueDate &lt; today</w:t>
            </w:r>
            <w:r>
              <w:rPr>
                <w:rFonts w:ascii="Calibri" w:hAnsi="Calibri"/>
                <w:sz w:val="19"/>
              </w:rPr>
              <w:t>, else the invoice status</w:t>
            </w:r>
          </w:p>
        </w:tc>
      </w:tr>
      <w:tr>
        <w:trPr>
          <w:cantSplit w:val="true"/>
        </w:trPr>
        <w:tc>
          <w:tcPr>
            <w:tcW w:type="dxa" w:w="1259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VAT &amp; Tax Summary</w:t>
            </w:r>
          </w:p>
        </w:tc>
        <w:tc>
          <w:tcPr>
            <w:tcW w:type="dxa" w:w="2114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One per calendar month</w:t>
            </w:r>
          </w:p>
        </w:tc>
        <w:tc>
          <w:tcPr>
            <w:tcW w:type="dxa" w:w="6232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 xml:space="preserve">Group billed invoices by </w:t>
            </w:r>
            <w:r>
              <w:rPr>
                <w:rFonts w:ascii="Consolas" w:hAnsi="Consolas" w:cs="Consolas"/>
                <w:color w:val="A82C4A"/>
                <w:sz w:val="17"/>
              </w:rPr>
              <w:t>invoiceDate</w:t>
            </w:r>
            <w:r>
              <w:rPr>
                <w:rFonts w:ascii="Calibri" w:hAnsi="Calibri"/>
                <w:sz w:val="19"/>
              </w:rPr>
              <w:t xml:space="preserve"> month → </w:t>
            </w:r>
            <w:r>
              <w:rPr>
                <w:rFonts w:ascii="Consolas" w:hAnsi="Consolas" w:cs="Consolas"/>
                <w:color w:val="A82C4A"/>
                <w:sz w:val="17"/>
              </w:rPr>
              <w:t>invoiced = Σ totalAmount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A82C4A"/>
                <w:sz w:val="17"/>
              </w:rPr>
              <w:t>vatCollected = Σ vatAmount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A82C4A"/>
                <w:sz w:val="17"/>
              </w:rPr>
              <w:t>aitDeducted = Σ aitAmount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 w:cs="Consolas"/>
                <w:color w:val="A82C4A"/>
                <w:sz w:val="17"/>
              </w:rPr>
              <w:t>net = vatCollected − aitDeducted</w:t>
            </w:r>
          </w:p>
        </w:tc>
      </w:tr>
      <w:tr>
        <w:trPr>
          <w:cantSplit w:val="true"/>
        </w:trPr>
        <w:tc>
          <w:tcPr>
            <w:tcW w:type="dxa" w:w="125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Order Fulfilment</w:t>
            </w:r>
          </w:p>
        </w:tc>
        <w:tc>
          <w:tcPr>
            <w:tcW w:type="dxa" w:w="211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One per PO</w:t>
            </w:r>
          </w:p>
        </w:tc>
        <w:tc>
          <w:tcPr>
            <w:tcW w:type="dxa" w:w="623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7"/>
              </w:rPr>
              <w:t>itemsOrdered = items.length</w:t>
            </w:r>
            <w:r>
              <w:rPr>
                <w:rFonts w:ascii="Calibri" w:hAnsi="Calibri"/>
                <w:sz w:val="19"/>
              </w:rPr>
              <w:t xml:space="preserve">; </w:t>
            </w:r>
            <w:r>
              <w:rPr>
                <w:rFonts w:ascii="Consolas" w:hAnsi="Consolas" w:cs="Consolas"/>
                <w:color w:val="A82C4A"/>
                <w:sz w:val="17"/>
              </w:rPr>
              <w:t>itemsDelivered</w:t>
            </w:r>
            <w:r>
              <w:rPr>
                <w:rFonts w:ascii="Calibri" w:hAnsi="Calibri"/>
                <w:sz w:val="19"/>
              </w:rPr>
              <w:t xml:space="preserve"> = lines where delivered qty ≥ ordered qty (only challans with status </w:t>
            </w:r>
            <w:r>
              <w:rPr>
                <w:rFonts w:ascii="Consolas" w:hAnsi="Consolas" w:cs="Consolas"/>
                <w:color w:val="A82C4A"/>
                <w:sz w:val="17"/>
              </w:rPr>
              <w:t>delivered</w:t>
            </w:r>
            <w:r>
              <w:rPr>
                <w:rFonts w:ascii="Calibri" w:hAnsi="Calibri"/>
                <w:sz w:val="19"/>
              </w:rPr>
              <w:t xml:space="preserve"> or </w:t>
            </w:r>
            <w:r>
              <w:rPr>
                <w:rFonts w:ascii="Consolas" w:hAnsi="Consolas" w:cs="Consolas"/>
                <w:color w:val="A82C4A"/>
                <w:sz w:val="17"/>
              </w:rPr>
              <w:t>grn_confirmed</w:t>
            </w:r>
            <w:r>
              <w:rPr>
                <w:rFonts w:ascii="Calibri" w:hAnsi="Calibri"/>
                <w:sz w:val="19"/>
              </w:rPr>
              <w:t xml:space="preserve"> count); </w:t>
            </w:r>
            <w:r>
              <w:rPr>
                <w:rFonts w:ascii="Consolas" w:hAnsi="Consolas" w:cs="Consolas"/>
                <w:color w:val="A82C4A"/>
                <w:sz w:val="17"/>
              </w:rPr>
              <w:t>fulfilmentPct = round(deliveredQty / orderedQty × 100)</w:t>
            </w:r>
            <w:r>
              <w:rPr>
                <w:rFonts w:ascii="Calibri" w:hAnsi="Calibri"/>
                <w:sz w:val="19"/>
              </w:rPr>
              <w:t xml:space="preserve">; status = </w:t>
            </w:r>
            <w:r>
              <w:rPr>
                <w:rFonts w:ascii="Consolas" w:hAnsi="Consolas" w:cs="Consolas"/>
                <w:color w:val="A82C4A"/>
                <w:sz w:val="17"/>
              </w:rPr>
              <w:t>cancelled</w:t>
            </w:r>
            <w:r>
              <w:rPr>
                <w:rFonts w:ascii="Calibri" w:hAnsi="Calibri"/>
                <w:sz w:val="19"/>
              </w:rPr>
              <w:t xml:space="preserve"> → </w:t>
            </w:r>
            <w:r>
              <w:rPr>
                <w:rFonts w:ascii="Consolas" w:hAnsi="Consolas" w:cs="Consolas"/>
                <w:color w:val="A82C4A"/>
                <w:sz w:val="17"/>
              </w:rPr>
              <w:t>fulfilled</w:t>
            </w:r>
            <w:r>
              <w:rPr>
                <w:rFonts w:ascii="Calibri" w:hAnsi="Calibri"/>
                <w:sz w:val="19"/>
              </w:rPr>
              <w:t xml:space="preserve"> (100%) → </w:t>
            </w:r>
            <w:r>
              <w:rPr>
                <w:rFonts w:ascii="Consolas" w:hAnsi="Consolas" w:cs="Consolas"/>
                <w:color w:val="A82C4A"/>
                <w:sz w:val="17"/>
              </w:rPr>
              <w:t>in_transit</w:t>
            </w:r>
            <w:r>
              <w:rPr>
                <w:rFonts w:ascii="Calibri" w:hAnsi="Calibri"/>
                <w:sz w:val="19"/>
              </w:rPr>
              <w:t xml:space="preserve"> (open challan) → </w:t>
            </w:r>
            <w:r>
              <w:rPr>
                <w:rFonts w:ascii="Consolas" w:hAnsi="Consolas" w:cs="Consolas"/>
                <w:color w:val="A82C4A"/>
                <w:sz w:val="17"/>
              </w:rPr>
              <w:t>partial</w:t>
            </w:r>
            <w:r>
              <w:rPr>
                <w:rFonts w:ascii="Calibri" w:hAnsi="Calibri"/>
                <w:sz w:val="19"/>
              </w:rPr>
              <w:t xml:space="preserve"> → </w:t>
            </w:r>
            <w:r>
              <w:rPr>
                <w:rFonts w:ascii="Consolas" w:hAnsi="Consolas" w:cs="Consolas"/>
                <w:color w:val="A82C4A"/>
                <w:sz w:val="17"/>
              </w:rPr>
              <w:t>pending</w:t>
            </w:r>
            <w:r>
              <w:rPr>
                <w:rFonts w:ascii="Calibri" w:hAnsi="Calibri"/>
                <w:sz w:val="19"/>
              </w:rPr>
              <w:t>, in that precedence order</w:t>
            </w:r>
          </w:p>
        </w:tc>
      </w:tr>
    </w:tbl>
    <w:p>
      <w:pPr>
        <w:spacing w:after="80" w:before="0"/>
      </w:pPr>
    </w:p>
    <w:p>
      <w:r>
        <w:rPr>
          <w:rFonts w:ascii="Calibri" w:hAnsi="Calibri"/>
        </w:rPr>
        <w:t xml:space="preserve">Header stats: on-time rate = </w:t>
      </w:r>
      <w:r>
        <w:rPr>
          <w:rFonts w:ascii="Consolas" w:hAnsi="Consolas" w:cs="Consolas"/>
          <w:color w:val="A82C4A"/>
          <w:sz w:val="18"/>
        </w:rPr>
        <w:t>Σ onTime / (Σ onTime + Σ late)</w:t>
      </w:r>
      <w:r>
        <w:rPr>
          <w:rFonts w:ascii="Calibri" w:hAnsi="Calibri"/>
        </w:rPr>
        <w:t xml:space="preserve"> from </w:t>
      </w:r>
      <w:r>
        <w:rPr>
          <w:rFonts w:ascii="Consolas" w:hAnsi="Consolas" w:cs="Consolas"/>
          <w:color w:val="A82C4A"/>
          <w:sz w:val="18"/>
        </w:rPr>
        <w:t>deliveryPerformance</w:t>
      </w:r>
      <w:r>
        <w:rPr>
          <w:rFonts w:ascii="Calibri" w:hAnsi="Calibri"/>
        </w:rPr>
        <w:t>; average fulfilment %; total outstanding receivables.</w:t>
      </w:r>
    </w:p>
    <w:p>
      <w:r>
        <w:rPr>
          <w:rFonts w:ascii="Calibri" w:hAnsi="Calibri"/>
        </w:rPr>
        <w:t xml:space="preserve">Suggested replacements: </w:t>
      </w:r>
      <w:r>
        <w:rPr>
          <w:rFonts w:ascii="Consolas" w:hAnsi="Consolas" w:cs="Consolas"/>
          <w:color w:val="A82C4A"/>
          <w:sz w:val="18"/>
        </w:rPr>
        <w:t>GET /reports/receivables</w:t>
      </w:r>
      <w:r>
        <w:rPr>
          <w:rFonts w:ascii="Calibri" w:hAnsi="Calibri"/>
        </w:rPr>
        <w:t xml:space="preserve">, </w:t>
      </w:r>
      <w:r>
        <w:rPr>
          <w:rFonts w:ascii="Consolas" w:hAnsi="Consolas" w:cs="Consolas"/>
          <w:color w:val="A82C4A"/>
          <w:sz w:val="18"/>
        </w:rPr>
        <w:t>GET /reports/vat-summary?year=2026</w:t>
      </w:r>
      <w:r>
        <w:rPr>
          <w:rFonts w:ascii="Calibri" w:hAnsi="Calibri"/>
        </w:rPr>
        <w:t xml:space="preserve">, </w:t>
      </w:r>
      <w:r>
        <w:rPr>
          <w:rFonts w:ascii="Consolas" w:hAnsi="Consolas" w:cs="Consolas"/>
          <w:color w:val="A82C4A"/>
          <w:sz w:val="18"/>
        </w:rPr>
        <w:t>GET /reports/fulfilment</w:t>
      </w:r>
      <w:r>
        <w:rPr>
          <w:rFonts w:ascii="Calibri" w:hAnsi="Calibri"/>
        </w:rPr>
        <w:t xml:space="preserve">. All support CSV export from the UI, so a </w:t>
      </w:r>
      <w:r>
        <w:rPr>
          <w:rFonts w:ascii="Consolas" w:hAnsi="Consolas" w:cs="Consolas"/>
          <w:color w:val="A82C4A"/>
          <w:sz w:val="18"/>
        </w:rPr>
        <w:t>?format=csv</w:t>
      </w:r>
      <w:r>
        <w:rPr>
          <w:rFonts w:ascii="Calibri" w:hAnsi="Calibri"/>
        </w:rPr>
        <w:t xml:space="preserve"> variant would be welcome.</w:t>
      </w:r>
    </w:p>
    <w:p>
      <w:pPr>
        <w:pStyle w:val="Heading4"/>
      </w:pPr>
      <w:r>
        <w:rPr>
          <w:rFonts w:ascii="Consolas" w:hAnsi="Consolas" w:cs="Consolas"/>
          <w:b/>
          <w:color w:val="2E74B5"/>
          <w:sz w:val="19"/>
        </w:rPr>
        <w:t>GET /challans?status={DeliveryStatus|all}&amp;search={string}</w:t>
      </w:r>
    </w:p>
    <w:p>
      <w:r>
        <w:rPr>
          <w:rFonts w:ascii="Calibri" w:hAnsi="Calibri"/>
        </w:rPr>
        <w:t>Needed by Reports (and by the delivery flow when we enable it):</w:t>
      </w:r>
    </w:p>
    <w:p>
      <w:pPr>
        <w:spacing w:before="12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  <w:top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[{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"id": "chal-001",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"challanNumber": "DC-2026-0021",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"poId": "po-001",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"poNumber": "PO-2026-0014",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"items": [{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"id": "chi-001",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"poLineItemId": "poli-001",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"description": "5-ply corrugated carton",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"unit": "pcs",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"quantity": 25000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}],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"scheduledDeliveryDate": "2026-08-20T00:00:00.000Z",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"deliveryAddress": "Kazi Farms Feed Mill, Gazipur",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"vehicleNumber": "DHAKA METRO-TA 11-4471",   // optional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"driverName": "Md. Rafiq",                    // optional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"receivedBy": "Store Officer, Gazipur",       // optional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"grnNumber": "GRN-2026-0188",                 // optional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"status": "grn_confirmed",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"createdAt": "2026-08-16T00:00:00.000Z",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"deliveredAt": "2026-08-20T10:00:00.000Z",    // optional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"grnConfirmedAt": "2026-08-21T09:00:00.000Z"  // optional</w:t>
      </w:r>
    </w:p>
    <w:p>
      <w:pPr>
        <w:spacing w:before="0" w:after="12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  <w:bottom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}]</w:t>
      </w:r>
    </w:p>
    <w:p>
      <w:r>
        <w:rPr>
          <w:rFonts w:ascii="Consolas" w:hAnsi="Consolas" w:cs="Consolas"/>
          <w:color w:val="A82C4A"/>
          <w:sz w:val="18"/>
        </w:rPr>
        <w:t>POST /challans</w:t>
      </w:r>
      <w:r>
        <w:rPr>
          <w:rFonts w:ascii="Calibri" w:hAnsi="Calibri"/>
        </w:rPr>
        <w:t xml:space="preserve"> also exists in the frontend layer (fields: </w:t>
      </w:r>
      <w:r>
        <w:rPr>
          <w:rFonts w:ascii="Consolas" w:hAnsi="Consolas" w:cs="Consolas"/>
          <w:color w:val="A82C4A"/>
          <w:sz w:val="18"/>
        </w:rPr>
        <w:t>poId</w:t>
      </w:r>
      <w:r>
        <w:rPr>
          <w:rFonts w:ascii="Calibri" w:hAnsi="Calibri"/>
        </w:rPr>
        <w:t xml:space="preserve">, </w:t>
      </w:r>
      <w:r>
        <w:rPr>
          <w:rFonts w:ascii="Consolas" w:hAnsi="Consolas" w:cs="Consolas"/>
          <w:color w:val="A82C4A"/>
          <w:sz w:val="18"/>
        </w:rPr>
        <w:t>deliveryAddress</w:t>
      </w:r>
      <w:r>
        <w:rPr>
          <w:rFonts w:ascii="Calibri" w:hAnsi="Calibri"/>
        </w:rPr>
        <w:t xml:space="preserve">, </w:t>
      </w:r>
      <w:r>
        <w:rPr>
          <w:rFonts w:ascii="Consolas" w:hAnsi="Consolas" w:cs="Consolas"/>
          <w:color w:val="A82C4A"/>
          <w:sz w:val="18"/>
        </w:rPr>
        <w:t>scheduledDeliveryDate</w:t>
      </w:r>
      <w:r>
        <w:rPr>
          <w:rFonts w:ascii="Calibri" w:hAnsi="Calibri"/>
        </w:rPr>
        <w:t xml:space="preserve">, </w:t>
      </w:r>
      <w:r>
        <w:rPr>
          <w:rFonts w:ascii="Consolas" w:hAnsi="Consolas" w:cs="Consolas"/>
          <w:color w:val="A82C4A"/>
          <w:sz w:val="18"/>
        </w:rPr>
        <w:t>vehicleNumber?</w:t>
      </w:r>
      <w:r>
        <w:rPr>
          <w:rFonts w:ascii="Calibri" w:hAnsi="Calibri"/>
        </w:rPr>
        <w:t xml:space="preserve">, </w:t>
      </w:r>
      <w:r>
        <w:rPr>
          <w:rFonts w:ascii="Consolas" w:hAnsi="Consolas" w:cs="Consolas"/>
          <w:color w:val="A82C4A"/>
          <w:sz w:val="18"/>
        </w:rPr>
        <w:t>driverName?</w:t>
      </w:r>
      <w:r>
        <w:rPr>
          <w:rFonts w:ascii="Calibri" w:hAnsi="Calibri"/>
        </w:rPr>
        <w:t xml:space="preserve">, </w:t>
      </w:r>
      <w:r>
        <w:rPr>
          <w:rFonts w:ascii="Consolas" w:hAnsi="Consolas" w:cs="Consolas"/>
          <w:color w:val="A82C4A"/>
          <w:sz w:val="18"/>
        </w:rPr>
        <w:t>items[{poLineItemId, quantity}]</w:t>
      </w:r>
      <w:r>
        <w:rPr>
          <w:rFonts w:ascii="Calibri" w:hAnsi="Calibri"/>
        </w:rPr>
        <w:t xml:space="preserve">) but there is </w:t>
      </w:r>
      <w:r>
        <w:rPr>
          <w:rFonts w:ascii="Calibri" w:hAnsi="Calibri"/>
          <w:b/>
        </w:rPr>
        <w:t>no UI screen for it yet</w:t>
      </w:r>
      <w:r>
        <w:rPr>
          <w:rFonts w:ascii="Calibri" w:hAnsi="Calibri"/>
        </w:rPr>
        <w:t xml:space="preserve"> — implement when we build the delivery screen.</w:t>
      </w:r>
    </w:p>
    <w:p>
      <w:pPr>
        <w:spacing w:before="80" w:after="200"/>
        <w:pBdr>
          <w:bottom w:val="single" w:sz="6" w:space="1" w:color="DCE3EA"/>
        </w:pBdr>
      </w:pPr>
    </w:p>
    <w:p>
      <w:pPr>
        <w:pStyle w:val="Heading3"/>
      </w:pPr>
      <w:r>
        <w:rPr>
          <w:rFonts w:ascii="Calibri" w:hAnsi="Calibri"/>
          <w:b/>
          <w:color w:val="2E74B5"/>
          <w:sz w:val="25"/>
        </w:rPr>
        <w:t xml:space="preserve">17. Notifications — </w:t>
      </w:r>
      <w:r>
        <w:rPr>
          <w:rFonts w:ascii="Consolas" w:hAnsi="Consolas" w:cs="Consolas"/>
          <w:b/>
          <w:color w:val="2E74B5"/>
          <w:sz w:val="22"/>
        </w:rPr>
        <w:t>/app/notifications</w:t>
      </w:r>
      <w:r>
        <w:rPr>
          <w:rFonts w:ascii="Calibri" w:hAnsi="Calibri"/>
          <w:b/>
          <w:color w:val="2E74B5"/>
          <w:sz w:val="25"/>
        </w:rPr>
        <w:t xml:space="preserve"> (+ the topbar bell on every screen)</w:t>
      </w:r>
    </w:p>
    <w:p>
      <w:r>
        <w:rPr>
          <w:rFonts w:ascii="Calibri" w:hAnsi="Calibri"/>
          <w:b/>
        </w:rPr>
        <w:t>Open screen:</w:t>
      </w:r>
      <w:r>
        <w:rPr>
          <w:rFonts w:ascii="Calibri" w:hAnsi="Calibri"/>
        </w:rPr>
        <w:t xml:space="preserve"> </w:t>
      </w:r>
      <w:hyperlink r:id="rId28">
        <w:r>
          <w:rPr>
            <w:rFonts w:ascii="Calibri" w:hAnsi="Calibri" w:cs="Calibri"/>
            <w:color w:val="0B5CAB"/>
            <w:u w:val="single"/>
          </w:rPr>
          <w:t xml:space="preserve">Notifications</w:t>
        </w:r>
      </w:hyperlink>
    </w:p>
    <w:p>
      <w:pPr>
        <w:pStyle w:val="Heading4"/>
      </w:pPr>
      <w:r>
        <w:rPr>
          <w:rFonts w:ascii="Consolas" w:hAnsi="Consolas" w:cs="Consolas"/>
          <w:b/>
          <w:color w:val="2E74B5"/>
          <w:sz w:val="19"/>
        </w:rPr>
        <w:t>GET /notifications</w:t>
      </w:r>
    </w:p>
    <w:p>
      <w:r>
        <w:rPr>
          <w:rFonts w:ascii="Calibri" w:hAnsi="Calibri"/>
        </w:rPr>
        <w:t xml:space="preserve">Sorted by </w:t>
      </w:r>
      <w:r>
        <w:rPr>
          <w:rFonts w:ascii="Consolas" w:hAnsi="Consolas" w:cs="Consolas"/>
          <w:color w:val="A82C4A"/>
          <w:sz w:val="18"/>
        </w:rPr>
        <w:t>timestamp</w:t>
      </w:r>
      <w:r>
        <w:rPr>
          <w:rFonts w:ascii="Calibri" w:hAnsi="Calibri"/>
        </w:rPr>
        <w:t xml:space="preserve"> descending.</w:t>
      </w:r>
    </w:p>
    <w:p>
      <w:pPr>
        <w:spacing w:before="12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  <w:top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[{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"id": "ntf-001",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"type": "po_issued",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"title": "New purchase order issued",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"body": "PO-2026-0014 for ৳18,40,000 has been issued by Feed Mill Division.",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"timestamp": "2026-08-14T09:30:00.000Z",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"read": false,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"link": "/app/purchase-orders/po-001"   // optional frontend route</w:t>
      </w:r>
    </w:p>
    <w:p>
      <w:pPr>
        <w:spacing w:before="0" w:after="120" w:line="240" w:lineRule="auto"/>
        <w:ind w:left="144" w:right="29"/>
        <w:keepLines w:val="1"/>
        <w:shd w:val="clear" w:color="auto" w:fill="F4F6F8"/>
        <w:pBdr>
          <w:left w:val="single" w:sz="6" w:space="3" w:color="D5DBE1"/>
          <w:right w:val="single" w:sz="6" w:space="3" w:color="D5DBE1"/>
          <w:bottom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}]</w:t>
      </w:r>
    </w:p>
    <w:p>
      <w:r>
        <w:rPr>
          <w:rFonts w:ascii="Consolas" w:hAnsi="Consolas" w:cs="Consolas"/>
          <w:color w:val="A82C4A"/>
          <w:sz w:val="18"/>
        </w:rPr>
        <w:t>title</w:t>
      </w:r>
      <w:r>
        <w:rPr>
          <w:rFonts w:ascii="Calibri" w:hAnsi="Calibri"/>
        </w:rPr>
        <w:t xml:space="preserve"> and </w:t>
      </w:r>
      <w:r>
        <w:rPr>
          <w:rFonts w:ascii="Consolas" w:hAnsi="Consolas" w:cs="Consolas"/>
          <w:color w:val="A82C4A"/>
          <w:sz w:val="18"/>
        </w:rPr>
        <w:t>body</w:t>
      </w:r>
      <w:r>
        <w:rPr>
          <w:rFonts w:ascii="Calibri" w:hAnsi="Calibri"/>
        </w:rPr>
        <w:t xml:space="preserve"> are </w:t>
      </w:r>
      <w:r>
        <w:rPr>
          <w:rFonts w:ascii="Calibri" w:hAnsi="Calibri"/>
          <w:b/>
        </w:rPr>
        <w:t>rendered as-is</w:t>
      </w:r>
      <w:r>
        <w:rPr>
          <w:rFonts w:ascii="Calibri" w:hAnsi="Calibri"/>
        </w:rPr>
        <w:t xml:space="preserve"> — the backend owns the wording. Same note as the dashboard: if frontend route paths are awkward, send </w:t>
      </w:r>
      <w:r>
        <w:rPr>
          <w:rFonts w:ascii="Consolas" w:hAnsi="Consolas" w:cs="Consolas"/>
          <w:color w:val="A82C4A"/>
          <w:sz w:val="18"/>
        </w:rPr>
        <w:t>entityType</w:t>
      </w:r>
      <w:r>
        <w:rPr>
          <w:rFonts w:ascii="Calibri" w:hAnsi="Calibri"/>
        </w:rPr>
        <w:t xml:space="preserve"> + </w:t>
      </w:r>
      <w:r>
        <w:rPr>
          <w:rFonts w:ascii="Consolas" w:hAnsi="Consolas" w:cs="Consolas"/>
          <w:color w:val="A82C4A"/>
          <w:sz w:val="18"/>
        </w:rPr>
        <w:t>entityId</w:t>
      </w:r>
      <w:r>
        <w:rPr>
          <w:rFonts w:ascii="Calibri" w:hAnsi="Calibri"/>
        </w:rPr>
        <w:t>.</w:t>
      </w:r>
    </w:p>
    <w:p>
      <w:pPr>
        <w:pStyle w:val="Heading4"/>
      </w:pPr>
      <w:r>
        <w:rPr>
          <w:rFonts w:ascii="Consolas" w:hAnsi="Consolas" w:cs="Consolas"/>
          <w:b/>
          <w:color w:val="2E74B5"/>
          <w:sz w:val="19"/>
        </w:rPr>
        <w:t>POST /notifications/{id}/read</w:t>
      </w:r>
      <w:r>
        <w:rPr>
          <w:rFonts w:ascii="Calibri" w:hAnsi="Calibri"/>
          <w:b/>
          <w:color w:val="2E74B5"/>
          <w:sz w:val="22"/>
        </w:rPr>
        <w:t xml:space="preserve"> → </w:t>
      </w:r>
      <w:r>
        <w:rPr>
          <w:rFonts w:ascii="Consolas" w:hAnsi="Consolas" w:cs="Consolas"/>
          <w:b/>
          <w:color w:val="2E74B5"/>
          <w:sz w:val="19"/>
        </w:rPr>
        <w:t>204</w:t>
      </w:r>
    </w:p>
    <w:p>
      <w:pPr>
        <w:pStyle w:val="Heading4"/>
      </w:pPr>
      <w:r>
        <w:rPr>
          <w:rFonts w:ascii="Consolas" w:hAnsi="Consolas" w:cs="Consolas"/>
          <w:b/>
          <w:color w:val="2E74B5"/>
          <w:sz w:val="19"/>
        </w:rPr>
        <w:t>POST /notifications/read-all</w:t>
      </w:r>
      <w:r>
        <w:rPr>
          <w:rFonts w:ascii="Calibri" w:hAnsi="Calibri"/>
          <w:b/>
          <w:color w:val="2E74B5"/>
          <w:sz w:val="22"/>
        </w:rPr>
        <w:t xml:space="preserve"> → </w:t>
      </w:r>
      <w:r>
        <w:rPr>
          <w:rFonts w:ascii="Consolas" w:hAnsi="Consolas" w:cs="Consolas"/>
          <w:b/>
          <w:color w:val="2E74B5"/>
          <w:sz w:val="19"/>
        </w:rPr>
        <w:t>204</w:t>
      </w:r>
    </w:p>
    <w:p>
      <w:r>
        <w:rPr>
          <w:rFonts w:ascii="Calibri" w:hAnsi="Calibri"/>
        </w:rPr>
        <w:t xml:space="preserve">The bell badge counts </w:t>
      </w:r>
      <w:r>
        <w:rPr>
          <w:rFonts w:ascii="Consolas" w:hAnsi="Consolas" w:cs="Consolas"/>
          <w:color w:val="A82C4A"/>
          <w:sz w:val="18"/>
        </w:rPr>
        <w:t>read === false</w:t>
      </w:r>
      <w:r>
        <w:rPr>
          <w:rFonts w:ascii="Calibri" w:hAnsi="Calibri"/>
        </w:rPr>
        <w:t xml:space="preserve">. A lightweight </w:t>
      </w:r>
      <w:r>
        <w:rPr>
          <w:rFonts w:ascii="Consolas" w:hAnsi="Consolas" w:cs="Consolas"/>
          <w:color w:val="A82C4A"/>
          <w:sz w:val="18"/>
        </w:rPr>
        <w:t>GET /notifications/unread-count → { "count": 4 }</w:t>
      </w:r>
      <w:r>
        <w:rPr>
          <w:rFonts w:ascii="Calibri" w:hAnsi="Calibri"/>
        </w:rPr>
        <w:t xml:space="preserve"> would let us poll cheaply instead of refetching the whole list.</w:t>
      </w:r>
    </w:p>
    <w:p>
      <w:pPr>
        <w:spacing w:before="80" w:after="200"/>
        <w:pBdr>
          <w:bottom w:val="single" w:sz="6" w:space="1" w:color="DCE3EA"/>
        </w:pBdr>
      </w:pPr>
    </w:p>
    <w:p>
      <w:pPr>
        <w:pStyle w:val="Heading3"/>
      </w:pPr>
      <w:r>
        <w:rPr>
          <w:rFonts w:ascii="Calibri" w:hAnsi="Calibri"/>
          <w:b/>
          <w:color w:val="2E74B5"/>
          <w:sz w:val="25"/>
        </w:rPr>
        <w:t xml:space="preserve">18. Company Profile — </w:t>
      </w:r>
      <w:r>
        <w:rPr>
          <w:rFonts w:ascii="Consolas" w:hAnsi="Consolas" w:cs="Consolas"/>
          <w:b/>
          <w:color w:val="2E74B5"/>
          <w:sz w:val="22"/>
        </w:rPr>
        <w:t>/app/profile</w:t>
      </w:r>
    </w:p>
    <w:p>
      <w:r>
        <w:rPr>
          <w:rFonts w:ascii="Calibri" w:hAnsi="Calibri"/>
          <w:b/>
        </w:rPr>
        <w:t>Open screen:</w:t>
      </w:r>
      <w:r>
        <w:rPr>
          <w:rFonts w:ascii="Calibri" w:hAnsi="Calibri"/>
        </w:rPr>
        <w:t xml:space="preserve"> </w:t>
      </w:r>
      <w:hyperlink r:id="rId29">
        <w:r>
          <w:rPr>
            <w:rFonts w:ascii="Calibri" w:hAnsi="Calibri" w:cs="Calibri"/>
            <w:color w:val="0B5CAB"/>
            <w:u w:val="single"/>
          </w:rPr>
          <w:t xml:space="preserve">Company Profile</w:t>
        </w:r>
      </w:hyperlink>
    </w:p>
    <w:p>
      <w:pPr>
        <w:pStyle w:val="Heading4"/>
      </w:pPr>
      <w:r>
        <w:rPr>
          <w:rFonts w:ascii="Consolas" w:hAnsi="Consolas" w:cs="Consolas"/>
          <w:b/>
          <w:color w:val="2E74B5"/>
          <w:sz w:val="19"/>
        </w:rPr>
        <w:t>GET /profile</w:t>
      </w:r>
    </w:p>
    <w:p>
      <w:pPr>
        <w:spacing w:before="12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  <w:top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{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"id": "SP-2024-001",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"companyName": "Dhaka Packaging Industries Ltd.",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"companyNameBn": "ঢাকা প্যাকেজিং ইন্ডাস্ট্রিজ লিমিটেড",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"tinNumber": "412398765432",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"binNumber": "004471029-0201",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"tradeLicenseNo": "TRAD/DHK/2019/44120",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"incorporationType": "Private Limited Company",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"registeredAddress": "House 42, Road 11, Banani, Dhaka 1213",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 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"phone": "+880 2 9885544",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"email": "info@dhakapackaging.com.bd",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"website": "https://dhakapackaging.com.bd",     // optional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 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"primaryContactName": "Ahsan Kabir",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"primaryContactPhone": "+880 1711 223344",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"primaryContactEmail": "ahsan.kabir@dhakapackaging.com.bd",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 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"bankAccounts": [{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"id": "bank-001",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"bankName": "BRAC Bank Ltd.",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"bankBranch": "Gulshan Branch",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"accountNumber": "1501204471029",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"routingNumber": "060261726",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"accountHolderName": "Dhaka Packaging Industries Ltd.",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  "isPrimary": true</w:t>
      </w:r>
    </w:p>
    <w:p>
      <w:pPr>
        <w:spacing w:before="0" w:after="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}]</w:t>
      </w:r>
    </w:p>
    <w:p>
      <w:pPr>
        <w:spacing w:before="0" w:after="120" w:line="240" w:lineRule="auto"/>
        <w:ind w:left="144" w:right="29"/>
        <w:shd w:val="clear" w:color="auto" w:fill="F4F6F8"/>
        <w:pBdr>
          <w:left w:val="single" w:sz="6" w:space="3" w:color="D5DBE1"/>
          <w:right w:val="single" w:sz="6" w:space="3" w:color="D5DBE1"/>
          <w:bottom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}</w:t>
      </w:r>
    </w:p>
    <w:p>
      <w:r>
        <w:rPr>
          <w:rFonts w:ascii="Calibri" w:hAnsi="Calibri"/>
        </w:rPr>
        <w:t xml:space="preserve">The top-level </w:t>
      </w:r>
      <w:r>
        <w:rPr>
          <w:rFonts w:ascii="Consolas" w:hAnsi="Consolas" w:cs="Consolas"/>
          <w:color w:val="A82C4A"/>
          <w:sz w:val="18"/>
        </w:rPr>
        <w:t>bankName</w:t>
      </w:r>
      <w:r>
        <w:rPr>
          <w:rFonts w:ascii="Calibri" w:hAnsi="Calibri"/>
        </w:rPr>
        <w:t xml:space="preserve"> / </w:t>
      </w:r>
      <w:r>
        <w:rPr>
          <w:rFonts w:ascii="Consolas" w:hAnsi="Consolas" w:cs="Consolas"/>
          <w:color w:val="A82C4A"/>
          <w:sz w:val="18"/>
        </w:rPr>
        <w:t>bankBranch</w:t>
      </w:r>
      <w:r>
        <w:rPr>
          <w:rFonts w:ascii="Calibri" w:hAnsi="Calibri"/>
        </w:rPr>
        <w:t xml:space="preserve"> / </w:t>
      </w:r>
      <w:r>
        <w:rPr>
          <w:rFonts w:ascii="Consolas" w:hAnsi="Consolas" w:cs="Consolas"/>
          <w:color w:val="A82C4A"/>
          <w:sz w:val="18"/>
        </w:rPr>
        <w:t>accountNumber</w:t>
      </w:r>
      <w:r>
        <w:rPr>
          <w:rFonts w:ascii="Calibri" w:hAnsi="Calibri"/>
        </w:rPr>
        <w:t xml:space="preserve"> / </w:t>
      </w:r>
      <w:r>
        <w:rPr>
          <w:rFonts w:ascii="Consolas" w:hAnsi="Consolas" w:cs="Consolas"/>
          <w:color w:val="A82C4A"/>
          <w:sz w:val="18"/>
        </w:rPr>
        <w:t>routingNumber</w:t>
      </w:r>
      <w:r>
        <w:rPr>
          <w:rFonts w:ascii="Calibri" w:hAnsi="Calibri"/>
        </w:rPr>
        <w:t xml:space="preserve"> / </w:t>
      </w:r>
      <w:r>
        <w:rPr>
          <w:rFonts w:ascii="Consolas" w:hAnsi="Consolas" w:cs="Consolas"/>
          <w:color w:val="A82C4A"/>
          <w:sz w:val="18"/>
        </w:rPr>
        <w:t>accountHolderName</w:t>
      </w:r>
      <w:r>
        <w:rPr>
          <w:rFonts w:ascii="Calibri" w:hAnsi="Calibri"/>
        </w:rPr>
        <w:t xml:space="preserve"> fields also exist in the current type as legacy duplicates of the primary account. </w:t>
      </w:r>
      <w:r>
        <w:rPr>
          <w:rFonts w:ascii="Calibri" w:hAnsi="Calibri"/>
          <w:b/>
        </w:rPr>
        <w:t>Do not implement them</w:t>
      </w:r>
      <w:r>
        <w:rPr>
          <w:rFonts w:ascii="Calibri" w:hAnsi="Calibri"/>
        </w:rPr>
        <w:t xml:space="preserve"> — we are removing them; send </w:t>
      </w:r>
      <w:r>
        <w:rPr>
          <w:rFonts w:ascii="Consolas" w:hAnsi="Consolas" w:cs="Consolas"/>
          <w:color w:val="A82C4A"/>
          <w:sz w:val="18"/>
        </w:rPr>
        <w:t>bankAccounts</w:t>
      </w:r>
      <w:r>
        <w:rPr>
          <w:rFonts w:ascii="Calibri" w:hAnsi="Calibri"/>
        </w:rPr>
        <w:t xml:space="preserve"> only.</w:t>
      </w:r>
    </w:p>
    <w:p>
      <w:pPr>
        <w:pStyle w:val="Heading4"/>
      </w:pPr>
      <w:r>
        <w:rPr>
          <w:rFonts w:ascii="Consolas" w:hAnsi="Consolas" w:cs="Consolas"/>
          <w:b/>
          <w:color w:val="2E74B5"/>
          <w:sz w:val="19"/>
        </w:rPr>
        <w:t>PATCH /profile</w:t>
      </w:r>
    </w:p>
    <w:p>
      <w:r>
        <w:rPr>
          <w:rFonts w:ascii="Calibri" w:hAnsi="Calibri"/>
          <w:b/>
        </w:rPr>
        <w:t>Only these six fields are editable from the portal.</w:t>
      </w:r>
      <w:r>
        <w:rPr>
          <w:rFonts w:ascii="Calibri" w:hAnsi="Calibri"/>
        </w:rPr>
        <w:t xml:space="preserve"> Everything else (company name, TIN, BIN, trade license, address, bank accounts) is ERP master data and must be rejected.</w:t>
      </w:r>
    </w:p>
    <w:p>
      <w:pPr>
        <w:spacing w:before="12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  <w:top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{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"primaryContactName": "Ahsan Kabir",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"primaryContactPhone": "+880 1711 223344",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"primaryContactEmail": "ahsan.kabir@dhakapackaging.com.bd",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"phone": "+880 2 9885544",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"email": "info@dhakapackaging.com.bd",</w:t>
      </w:r>
    </w:p>
    <w:p>
      <w:pPr>
        <w:spacing w:before="0" w:after="0" w:line="240" w:lineRule="auto"/>
        <w:ind w:left="144" w:right="29"/>
        <w:keepLines w:val="1"/>
        <w:keepNext w:val="1"/>
        <w:shd w:val="clear" w:color="auto" w:fill="F4F6F8"/>
        <w:pBdr>
          <w:left w:val="single" w:sz="6" w:space="3" w:color="D5DBE1"/>
          <w:right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 xml:space="preserve">  "website": "https://dhakapackaging.com.bd"</w:t>
      </w:r>
    </w:p>
    <w:p>
      <w:pPr>
        <w:spacing w:before="0" w:after="120" w:line="240" w:lineRule="auto"/>
        <w:ind w:left="144" w:right="29"/>
        <w:keepLines w:val="1"/>
        <w:shd w:val="clear" w:color="auto" w:fill="F4F6F8"/>
        <w:pBdr>
          <w:left w:val="single" w:sz="6" w:space="3" w:color="D5DBE1"/>
          <w:right w:val="single" w:sz="6" w:space="3" w:color="D5DBE1"/>
          <w:bottom w:val="single" w:sz="6" w:space="3" w:color="D5DBE1"/>
        </w:pBdr>
      </w:pPr>
      <w:r>
        <w:rPr>
          <w:rFonts w:ascii="Consolas" w:hAnsi="Consolas" w:cs="Consolas" w:eastAsia="Consolas"/>
          <w:color w:val="1D2833"/>
          <w:sz w:val="17"/>
        </w:rPr>
        <w:t>}</w:t>
      </w:r>
    </w:p>
    <w:p>
      <w:r>
        <w:rPr>
          <w:rFonts w:ascii="Calibri" w:hAnsi="Calibri"/>
        </w:rPr>
        <w:t xml:space="preserve">Response 200 — the full updated profile. Requires </w:t>
      </w:r>
      <w:r>
        <w:rPr>
          <w:rFonts w:ascii="Consolas" w:hAnsi="Consolas" w:cs="Consolas"/>
          <w:color w:val="A82C4A"/>
          <w:sz w:val="18"/>
        </w:rPr>
        <w:t>manage_profile</w:t>
      </w:r>
      <w:r>
        <w:rPr>
          <w:rFonts w:ascii="Calibri" w:hAnsi="Calibri"/>
        </w:rPr>
        <w:t>.</w:t>
      </w:r>
    </w:p>
    <w:p>
      <w:pPr>
        <w:spacing w:before="80" w:after="200"/>
        <w:pBdr>
          <w:bottom w:val="single" w:sz="6" w:space="1" w:color="DCE3EA"/>
        </w:pBdr>
      </w:pPr>
    </w:p>
    <w:p>
      <w:pPr>
        <w:pStyle w:val="Heading2"/>
        <w:pBdr>
          <w:bottom w:val="single" w:sz="6" w:space="5" w:color="C9D6E4"/>
        </w:pBdr>
      </w:pPr>
      <w:r>
        <w:rPr>
          <w:rFonts w:ascii="Calibri" w:hAnsi="Calibri"/>
          <w:b/>
          <w:color w:val="1F4E79"/>
          <w:sz w:val="31"/>
        </w:rPr>
        <w:t>5. RBAC — permissions the backend must enforce</w:t>
      </w:r>
    </w:p>
    <w:p>
      <w:r>
        <w:rPr>
          <w:rFonts w:ascii="Calibri" w:hAnsi="Calibri"/>
        </w:rPr>
        <w:t xml:space="preserve">The frontend hides UI by permission, but that is cosmetic. </w:t>
      </w:r>
      <w:r>
        <w:rPr>
          <w:rFonts w:ascii="Calibri" w:hAnsi="Calibri"/>
          <w:b/>
        </w:rPr>
        <w:t>Every endpoint must re-check server-side.</w:t>
      </w:r>
    </w:p>
    <w:tbl>
      <w:tblPr>
        <w:tblStyle w:val="TableGrid"/>
        <w:tblW w:type="dxa" w:w="9604"/>
        <w:tblLayout w:type="fixed"/>
        <w:tblLook w:firstColumn="1" w:firstRow="1" w:lastColumn="0" w:lastRow="0" w:noHBand="0" w:noVBand="1" w:val="04A0"/>
        <w:tblBorders>
          <w:top w:val="single" w:sz="4" w:space="0" w:color="C6CED6"/>
          <w:left w:val="single" w:sz="4" w:space="0" w:color="C6CED6"/>
          <w:bottom w:val="single" w:sz="4" w:space="0" w:color="C6CED6"/>
          <w:right w:val="single" w:sz="4" w:space="0" w:color="C6CED6"/>
          <w:insideH w:val="single" w:sz="4" w:space="0" w:color="C6CED6"/>
          <w:insideV w:val="single" w:sz="4" w:space="0" w:color="C6CED6"/>
        </w:tblBorders>
        <w:tblLayout w:type="fixed"/>
      </w:tblPr>
      <w:tblGrid>
        <w:gridCol w:w="2088"/>
        <w:gridCol w:w="1745"/>
        <w:gridCol w:w="1535"/>
        <w:gridCol w:w="1627"/>
        <w:gridCol w:w="1811"/>
        <w:gridCol w:w="797"/>
      </w:tblGrid>
      <w:tr>
        <w:trPr>
          <w:tblHeader w:val="true"/>
          <w:cantSplit w:val="true"/>
        </w:trPr>
        <w:tc>
          <w:tcPr>
            <w:tcW w:type="dxa" w:w="2088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Permission</w:t>
            </w:r>
          </w:p>
        </w:tc>
        <w:tc>
          <w:tcPr>
            <w:tcW w:type="dxa" w:w="1745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Guards</w:t>
            </w:r>
          </w:p>
        </w:tc>
        <w:tc>
          <w:tcPr>
            <w:tcW w:type="dxa" w:w="1535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supplier_admin</w:t>
            </w:r>
          </w:p>
        </w:tc>
        <w:tc>
          <w:tcPr>
            <w:tcW w:type="dxa" w:w="1627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finance_officer</w:t>
            </w:r>
          </w:p>
        </w:tc>
        <w:tc>
          <w:tcPr>
            <w:tcW w:type="dxa" w:w="1812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logistics_officer</w:t>
            </w:r>
          </w:p>
        </w:tc>
        <w:tc>
          <w:tcPr>
            <w:tcW w:type="dxa" w:w="798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viewer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5"/>
              </w:rPr>
              <w:t>view_dashboard</w:t>
            </w:r>
          </w:p>
        </w:tc>
        <w:tc>
          <w:tcPr>
            <w:tcW w:type="dxa" w:w="174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5"/>
              </w:rPr>
              <w:t>GET /dashboard/kpi</w:t>
            </w:r>
          </w:p>
        </w:tc>
        <w:tc>
          <w:tcPr>
            <w:tcW w:type="dxa" w:w="153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sz w:val="17"/>
              </w:rPr>
              <w:t>✅</w:t>
            </w:r>
          </w:p>
        </w:tc>
        <w:tc>
          <w:tcPr>
            <w:tcW w:type="dxa" w:w="162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sz w:val="17"/>
              </w:rPr>
              <w:t>✅</w:t>
            </w:r>
          </w:p>
        </w:tc>
        <w:tc>
          <w:tcPr>
            <w:tcW w:type="dxa" w:w="18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sz w:val="17"/>
              </w:rPr>
              <w:t>✅</w:t>
            </w:r>
          </w:p>
        </w:tc>
        <w:tc>
          <w:tcPr>
            <w:tcW w:type="dxa" w:w="79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sz w:val="17"/>
              </w:rPr>
              <w:t>✅</w:t>
            </w:r>
          </w:p>
        </w:tc>
      </w:tr>
      <w:tr>
        <w:trPr>
          <w:cantSplit w:val="true"/>
        </w:trPr>
        <w:tc>
          <w:tcPr>
            <w:tcW w:type="dxa" w:w="2088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5"/>
              </w:rPr>
              <w:t>view_tenders</w:t>
            </w:r>
          </w:p>
        </w:tc>
        <w:tc>
          <w:tcPr>
            <w:tcW w:type="dxa" w:w="1745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5"/>
              </w:rPr>
              <w:t>GET /tenders</w:t>
            </w:r>
            <w:r>
              <w:rPr>
                <w:rFonts w:ascii="Calibri" w:hAnsi="Calibri"/>
                <w:sz w:val="17"/>
              </w:rPr>
              <w:t xml:space="preserve">, </w:t>
            </w:r>
            <w:r>
              <w:rPr>
                <w:rFonts w:ascii="Consolas" w:hAnsi="Consolas" w:cs="Consolas"/>
                <w:color w:val="A82C4A"/>
                <w:sz w:val="15"/>
              </w:rPr>
              <w:t>GET /bids</w:t>
            </w:r>
          </w:p>
        </w:tc>
        <w:tc>
          <w:tcPr>
            <w:tcW w:type="dxa" w:w="1535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sz w:val="17"/>
              </w:rPr>
              <w:t>✅</w:t>
            </w:r>
          </w:p>
        </w:tc>
        <w:tc>
          <w:tcPr>
            <w:tcW w:type="dxa" w:w="1627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sz w:val="17"/>
              </w:rPr>
              <w:t>✅</w:t>
            </w:r>
          </w:p>
        </w:tc>
        <w:tc>
          <w:tcPr>
            <w:tcW w:type="dxa" w:w="1812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sz w:val="17"/>
              </w:rPr>
              <w:t>✅</w:t>
            </w:r>
          </w:p>
        </w:tc>
        <w:tc>
          <w:tcPr>
            <w:tcW w:type="dxa" w:w="798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sz w:val="17"/>
              </w:rPr>
              <w:t>✅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5"/>
              </w:rPr>
              <w:t>submit_bids</w:t>
            </w:r>
          </w:p>
        </w:tc>
        <w:tc>
          <w:tcPr>
            <w:tcW w:type="dxa" w:w="174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5"/>
              </w:rPr>
              <w:t>POST /bids</w:t>
            </w:r>
            <w:r>
              <w:rPr>
                <w:rFonts w:ascii="Calibri" w:hAnsi="Calibri"/>
                <w:sz w:val="17"/>
              </w:rPr>
              <w:t>, clarification response</w:t>
            </w:r>
          </w:p>
        </w:tc>
        <w:tc>
          <w:tcPr>
            <w:tcW w:type="dxa" w:w="153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sz w:val="17"/>
              </w:rPr>
              <w:t>✅</w:t>
            </w:r>
          </w:p>
        </w:tc>
        <w:tc>
          <w:tcPr>
            <w:tcW w:type="dxa" w:w="162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18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79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088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5"/>
              </w:rPr>
              <w:t>view_purchase_orders</w:t>
            </w:r>
          </w:p>
        </w:tc>
        <w:tc>
          <w:tcPr>
            <w:tcW w:type="dxa" w:w="1745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5"/>
              </w:rPr>
              <w:t>GET /purchase-orders</w:t>
            </w:r>
          </w:p>
        </w:tc>
        <w:tc>
          <w:tcPr>
            <w:tcW w:type="dxa" w:w="1535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sz w:val="17"/>
              </w:rPr>
              <w:t>✅</w:t>
            </w:r>
          </w:p>
        </w:tc>
        <w:tc>
          <w:tcPr>
            <w:tcW w:type="dxa" w:w="1627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sz w:val="17"/>
              </w:rPr>
              <w:t>✅</w:t>
            </w:r>
          </w:p>
        </w:tc>
        <w:tc>
          <w:tcPr>
            <w:tcW w:type="dxa" w:w="1812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sz w:val="17"/>
              </w:rPr>
              <w:t>✅</w:t>
            </w:r>
          </w:p>
        </w:tc>
        <w:tc>
          <w:tcPr>
            <w:tcW w:type="dxa" w:w="798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sz w:val="17"/>
              </w:rPr>
              <w:t>✅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5"/>
              </w:rPr>
              <w:t>acknowledge_po</w:t>
            </w:r>
          </w:p>
        </w:tc>
        <w:tc>
          <w:tcPr>
            <w:tcW w:type="dxa" w:w="174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5"/>
              </w:rPr>
              <w:t>POST /purchase-orders/{id}/acknowledge</w:t>
            </w:r>
          </w:p>
        </w:tc>
        <w:tc>
          <w:tcPr>
            <w:tcW w:type="dxa" w:w="153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sz w:val="17"/>
              </w:rPr>
              <w:t>✅</w:t>
            </w:r>
          </w:p>
        </w:tc>
        <w:tc>
          <w:tcPr>
            <w:tcW w:type="dxa" w:w="162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18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79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088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5"/>
              </w:rPr>
              <w:t>manage_invoices</w:t>
            </w:r>
          </w:p>
        </w:tc>
        <w:tc>
          <w:tcPr>
            <w:tcW w:type="dxa" w:w="1745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5"/>
              </w:rPr>
              <w:t>POST /invoices</w:t>
            </w:r>
          </w:p>
        </w:tc>
        <w:tc>
          <w:tcPr>
            <w:tcW w:type="dxa" w:w="1535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sz w:val="17"/>
              </w:rPr>
              <w:t>✅</w:t>
            </w:r>
          </w:p>
        </w:tc>
        <w:tc>
          <w:tcPr>
            <w:tcW w:type="dxa" w:w="1627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sz w:val="17"/>
              </w:rPr>
              <w:t>✅</w:t>
            </w:r>
          </w:p>
        </w:tc>
        <w:tc>
          <w:tcPr>
            <w:tcW w:type="dxa" w:w="1812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798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5"/>
              </w:rPr>
              <w:t>view_payments</w:t>
            </w:r>
          </w:p>
        </w:tc>
        <w:tc>
          <w:tcPr>
            <w:tcW w:type="dxa" w:w="174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5"/>
              </w:rPr>
              <w:t>GET /payments</w:t>
            </w:r>
          </w:p>
        </w:tc>
        <w:tc>
          <w:tcPr>
            <w:tcW w:type="dxa" w:w="153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sz w:val="17"/>
              </w:rPr>
              <w:t>✅</w:t>
            </w:r>
          </w:p>
        </w:tc>
        <w:tc>
          <w:tcPr>
            <w:tcW w:type="dxa" w:w="162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sz w:val="17"/>
              </w:rPr>
              <w:t>✅</w:t>
            </w:r>
          </w:p>
        </w:tc>
        <w:tc>
          <w:tcPr>
            <w:tcW w:type="dxa" w:w="18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79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sz w:val="17"/>
              </w:rPr>
              <w:t>✅</w:t>
            </w:r>
          </w:p>
        </w:tc>
      </w:tr>
      <w:tr>
        <w:trPr>
          <w:cantSplit w:val="true"/>
        </w:trPr>
        <w:tc>
          <w:tcPr>
            <w:tcW w:type="dxa" w:w="2088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5"/>
              </w:rPr>
              <w:t>manage_deliveries</w:t>
            </w:r>
          </w:p>
        </w:tc>
        <w:tc>
          <w:tcPr>
            <w:tcW w:type="dxa" w:w="1745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5"/>
              </w:rPr>
              <w:t>POST /challans</w:t>
            </w:r>
          </w:p>
        </w:tc>
        <w:tc>
          <w:tcPr>
            <w:tcW w:type="dxa" w:w="1535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sz w:val="17"/>
              </w:rPr>
              <w:t>✅</w:t>
            </w:r>
          </w:p>
        </w:tc>
        <w:tc>
          <w:tcPr>
            <w:tcW w:type="dxa" w:w="1627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1812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sz w:val="17"/>
              </w:rPr>
              <w:t>✅</w:t>
            </w:r>
          </w:p>
        </w:tc>
        <w:tc>
          <w:tcPr>
            <w:tcW w:type="dxa" w:w="798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5"/>
              </w:rPr>
              <w:t>view_documents</w:t>
            </w:r>
          </w:p>
        </w:tc>
        <w:tc>
          <w:tcPr>
            <w:tcW w:type="dxa" w:w="174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5"/>
              </w:rPr>
              <w:t>GET /documents</w:t>
            </w:r>
          </w:p>
        </w:tc>
        <w:tc>
          <w:tcPr>
            <w:tcW w:type="dxa" w:w="153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sz w:val="17"/>
              </w:rPr>
              <w:t>✅</w:t>
            </w:r>
          </w:p>
        </w:tc>
        <w:tc>
          <w:tcPr>
            <w:tcW w:type="dxa" w:w="162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sz w:val="17"/>
              </w:rPr>
              <w:t>✅</w:t>
            </w:r>
          </w:p>
        </w:tc>
        <w:tc>
          <w:tcPr>
            <w:tcW w:type="dxa" w:w="18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sz w:val="17"/>
              </w:rPr>
              <w:t>✅</w:t>
            </w:r>
          </w:p>
        </w:tc>
        <w:tc>
          <w:tcPr>
            <w:tcW w:type="dxa" w:w="79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sz w:val="17"/>
              </w:rPr>
              <w:t>✅</w:t>
            </w:r>
          </w:p>
        </w:tc>
      </w:tr>
      <w:tr>
        <w:trPr>
          <w:cantSplit w:val="true"/>
        </w:trPr>
        <w:tc>
          <w:tcPr>
            <w:tcW w:type="dxa" w:w="2088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5"/>
              </w:rPr>
              <w:t>upload_documents</w:t>
            </w:r>
          </w:p>
        </w:tc>
        <w:tc>
          <w:tcPr>
            <w:tcW w:type="dxa" w:w="1745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5"/>
              </w:rPr>
              <w:t>POST /documents</w:t>
            </w:r>
          </w:p>
        </w:tc>
        <w:tc>
          <w:tcPr>
            <w:tcW w:type="dxa" w:w="1535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sz w:val="17"/>
              </w:rPr>
              <w:t>✅</w:t>
            </w:r>
          </w:p>
        </w:tc>
        <w:tc>
          <w:tcPr>
            <w:tcW w:type="dxa" w:w="1627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1812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798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5"/>
              </w:rPr>
              <w:t>view_reports</w:t>
            </w:r>
          </w:p>
        </w:tc>
        <w:tc>
          <w:tcPr>
            <w:tcW w:type="dxa" w:w="174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5"/>
              </w:rPr>
              <w:t>GET /reports/*</w:t>
            </w:r>
          </w:p>
        </w:tc>
        <w:tc>
          <w:tcPr>
            <w:tcW w:type="dxa" w:w="153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sz w:val="17"/>
              </w:rPr>
              <w:t>✅</w:t>
            </w:r>
          </w:p>
        </w:tc>
        <w:tc>
          <w:tcPr>
            <w:tcW w:type="dxa" w:w="162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sz w:val="17"/>
              </w:rPr>
              <w:t>✅</w:t>
            </w:r>
          </w:p>
        </w:tc>
        <w:tc>
          <w:tcPr>
            <w:tcW w:type="dxa" w:w="181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79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sz w:val="17"/>
              </w:rPr>
              <w:t>✅</w:t>
            </w:r>
          </w:p>
        </w:tc>
      </w:tr>
      <w:tr>
        <w:trPr>
          <w:cantSplit w:val="true"/>
        </w:trPr>
        <w:tc>
          <w:tcPr>
            <w:tcW w:type="dxa" w:w="2088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5"/>
              </w:rPr>
              <w:t>manage_profile</w:t>
            </w:r>
          </w:p>
        </w:tc>
        <w:tc>
          <w:tcPr>
            <w:tcW w:type="dxa" w:w="1745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5"/>
              </w:rPr>
              <w:t>PATCH /profile</w:t>
            </w:r>
          </w:p>
        </w:tc>
        <w:tc>
          <w:tcPr>
            <w:tcW w:type="dxa" w:w="1535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sz w:val="17"/>
              </w:rPr>
              <w:t>✅</w:t>
            </w:r>
          </w:p>
        </w:tc>
        <w:tc>
          <w:tcPr>
            <w:tcW w:type="dxa" w:w="1627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1812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798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center"/>
            </w:pPr>
            <w:r>
              <w:rPr>
                <w:rFonts w:ascii="Calibri" w:hAnsi="Calibri"/>
                <w:sz w:val="17"/>
              </w:rPr>
              <w:t>—</w:t>
            </w:r>
          </w:p>
        </w:tc>
      </w:tr>
    </w:tbl>
    <w:p>
      <w:pPr>
        <w:spacing w:after="80" w:before="0"/>
      </w:pPr>
    </w:p>
    <w:p>
      <w:r>
        <w:rPr>
          <w:rFonts w:ascii="Calibri" w:hAnsi="Calibri"/>
        </w:rPr>
        <w:t xml:space="preserve">Notifications and profile </w:t>
      </w:r>
      <w:r>
        <w:rPr>
          <w:rFonts w:ascii="Calibri" w:hAnsi="Calibri"/>
          <w:i/>
        </w:rPr>
        <w:t>viewing</w:t>
      </w:r>
      <w:r>
        <w:rPr>
          <w:rFonts w:ascii="Calibri" w:hAnsi="Calibri"/>
        </w:rPr>
        <w:t xml:space="preserve"> are open to all authenticated roles.</w:t>
      </w:r>
    </w:p>
    <w:p>
      <w:r>
        <w:rPr>
          <w:rFonts w:ascii="Calibri" w:hAnsi="Calibri"/>
        </w:rPr>
        <w:t xml:space="preserve">Source of truth: </w:t>
      </w:r>
      <w:r>
        <w:rPr>
          <w:rFonts w:ascii="Consolas" w:hAnsi="Consolas" w:cs="Consolas"/>
          <w:color w:val="A82C4A"/>
          <w:sz w:val="18"/>
        </w:rPr>
        <w:t>src/lib/rbac.ts</w:t>
      </w:r>
      <w:r>
        <w:rPr>
          <w:rFonts w:ascii="Calibri" w:hAnsi="Calibri"/>
        </w:rPr>
        <w:t>.</w:t>
      </w:r>
    </w:p>
    <w:p>
      <w:pPr>
        <w:spacing w:before="80" w:after="200"/>
        <w:pBdr>
          <w:bottom w:val="single" w:sz="6" w:space="1" w:color="DCE3EA"/>
        </w:pBdr>
      </w:pPr>
    </w:p>
    <w:p>
      <w:pPr>
        <w:pStyle w:val="Heading2"/>
        <w:pBdr>
          <w:bottom w:val="single" w:sz="6" w:space="5" w:color="C9D6E4"/>
        </w:pBdr>
      </w:pPr>
      <w:r>
        <w:rPr>
          <w:rFonts w:ascii="Calibri" w:hAnsi="Calibri"/>
          <w:b/>
          <w:color w:val="1F4E79"/>
          <w:sz w:val="31"/>
        </w:rPr>
        <w:t>6. Business rules currently hard-coded in the frontend</w:t>
      </w:r>
    </w:p>
    <w:p>
      <w:r>
        <w:rPr>
          <w:rFonts w:ascii="Calibri" w:hAnsi="Calibri"/>
        </w:rPr>
        <w:t xml:space="preserve">These live in </w:t>
      </w:r>
      <w:r>
        <w:rPr>
          <w:rFonts w:ascii="Consolas" w:hAnsi="Consolas" w:cs="Consolas"/>
          <w:color w:val="A82C4A"/>
          <w:sz w:val="18"/>
        </w:rPr>
        <w:t>src/lib/format/tax.ts</w:t>
      </w:r>
      <w:r>
        <w:rPr>
          <w:rFonts w:ascii="Calibri" w:hAnsi="Calibri"/>
        </w:rPr>
        <w:t xml:space="preserve"> and should ideally be owned by the ERP:</w:t>
      </w:r>
    </w:p>
    <w:tbl>
      <w:tblPr>
        <w:tblStyle w:val="TableGrid"/>
        <w:tblW w:type="dxa" w:w="9604"/>
        <w:tblLayout w:type="fixed"/>
        <w:tblLook w:firstColumn="1" w:firstRow="1" w:lastColumn="0" w:lastRow="0" w:noHBand="0" w:noVBand="1" w:val="04A0"/>
        <w:tblBorders>
          <w:top w:val="single" w:sz="4" w:space="0" w:color="C6CED6"/>
          <w:left w:val="single" w:sz="4" w:space="0" w:color="C6CED6"/>
          <w:bottom w:val="single" w:sz="4" w:space="0" w:color="C6CED6"/>
          <w:right w:val="single" w:sz="4" w:space="0" w:color="C6CED6"/>
          <w:insideH w:val="single" w:sz="4" w:space="0" w:color="C6CED6"/>
          <w:insideV w:val="single" w:sz="4" w:space="0" w:color="C6CED6"/>
        </w:tblBorders>
        <w:tblLayout w:type="fixed"/>
      </w:tblPr>
      <w:tblGrid>
        <w:gridCol w:w="1545"/>
        <w:gridCol w:w="2643"/>
        <w:gridCol w:w="2577"/>
        <w:gridCol w:w="2838"/>
      </w:tblGrid>
      <w:tr>
        <w:trPr>
          <w:tblHeader w:val="true"/>
          <w:cantSplit w:val="true"/>
        </w:trPr>
        <w:tc>
          <w:tcPr>
            <w:tcW w:type="dxa" w:w="1545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Rate</w:t>
            </w:r>
          </w:p>
        </w:tc>
        <w:tc>
          <w:tcPr>
            <w:tcW w:type="dxa" w:w="2644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  <w:tc>
          <w:tcPr>
            <w:tcW w:type="dxa" w:w="2577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Applied to</w:t>
            </w:r>
          </w:p>
        </w:tc>
        <w:tc>
          <w:tcPr>
            <w:tcW w:type="dxa" w:w="2839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Used on</w:t>
            </w:r>
          </w:p>
        </w:tc>
      </w:tr>
      <w:tr>
        <w:trPr>
          <w:cantSplit w:val="true"/>
        </w:trPr>
        <w:tc>
          <w:tcPr>
            <w:tcW w:type="dxa" w:w="154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VAT</w:t>
            </w:r>
          </w:p>
        </w:tc>
        <w:tc>
          <w:tcPr>
            <w:tcW w:type="dxa" w:w="2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15%</w:t>
            </w:r>
          </w:p>
        </w:tc>
        <w:tc>
          <w:tcPr>
            <w:tcW w:type="dxa" w:w="257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invoice/bid subtotal</w:t>
            </w:r>
          </w:p>
        </w:tc>
        <w:tc>
          <w:tcPr>
            <w:tcW w:type="dxa" w:w="283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Bill submission, bid submission</w:t>
            </w:r>
          </w:p>
        </w:tc>
      </w:tr>
      <w:tr>
        <w:trPr>
          <w:cantSplit w:val="true"/>
        </w:trPr>
        <w:tc>
          <w:tcPr>
            <w:tcW w:type="dxa" w:w="1545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AIT</w:t>
            </w:r>
          </w:p>
        </w:tc>
        <w:tc>
          <w:tcPr>
            <w:tcW w:type="dxa" w:w="2644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3%</w:t>
            </w:r>
          </w:p>
        </w:tc>
        <w:tc>
          <w:tcPr>
            <w:tcW w:type="dxa" w:w="2577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invoice subtotal (deducted)</w:t>
            </w:r>
          </w:p>
        </w:tc>
        <w:tc>
          <w:tcPr>
            <w:tcW w:type="dxa" w:w="2839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Bill submission, invoice totals</w:t>
            </w:r>
          </w:p>
        </w:tc>
      </w:tr>
      <w:tr>
        <w:trPr>
          <w:cantSplit w:val="true"/>
        </w:trPr>
        <w:tc>
          <w:tcPr>
            <w:tcW w:type="dxa" w:w="154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VDS</w:t>
            </w:r>
          </w:p>
        </w:tc>
        <w:tc>
          <w:tcPr>
            <w:tcW w:type="dxa" w:w="2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7.5%</w:t>
            </w:r>
          </w:p>
        </w:tc>
        <w:tc>
          <w:tcPr>
            <w:tcW w:type="dxa" w:w="257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PO subtotal (taxable value)</w:t>
            </w:r>
          </w:p>
        </w:tc>
        <w:tc>
          <w:tcPr>
            <w:tcW w:type="dxa" w:w="283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Order list, order detail</w:t>
            </w:r>
          </w:p>
        </w:tc>
      </w:tr>
      <w:tr>
        <w:trPr>
          <w:cantSplit w:val="true"/>
        </w:trPr>
        <w:tc>
          <w:tcPr>
            <w:tcW w:type="dxa" w:w="1545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TDS</w:t>
            </w:r>
          </w:p>
        </w:tc>
        <w:tc>
          <w:tcPr>
            <w:tcW w:type="dxa" w:w="2644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3%</w:t>
            </w:r>
          </w:p>
        </w:tc>
        <w:tc>
          <w:tcPr>
            <w:tcW w:type="dxa" w:w="2577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PO subtotal (taxable value)</w:t>
            </w:r>
          </w:p>
        </w:tc>
        <w:tc>
          <w:tcPr>
            <w:tcW w:type="dxa" w:w="2839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Order list, order detail</w:t>
            </w:r>
          </w:p>
        </w:tc>
      </w:tr>
      <w:tr>
        <w:trPr>
          <w:cantSplit w:val="true"/>
        </w:trPr>
        <w:tc>
          <w:tcPr>
            <w:tcW w:type="dxa" w:w="154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Payment terms</w:t>
            </w:r>
          </w:p>
        </w:tc>
        <w:tc>
          <w:tcPr>
            <w:tcW w:type="dxa" w:w="26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30 days from bill submission</w:t>
            </w:r>
          </w:p>
        </w:tc>
        <w:tc>
          <w:tcPr>
            <w:tcW w:type="dxa" w:w="2577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83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Bill submission due date</w:t>
            </w:r>
          </w:p>
        </w:tc>
      </w:tr>
    </w:tbl>
    <w:p>
      <w:pPr>
        <w:spacing w:after="80" w:before="0"/>
      </w:pPr>
    </w:p>
    <w:p>
      <w:r>
        <w:rPr>
          <w:rFonts w:ascii="Calibri" w:hAnsi="Calibri"/>
        </w:rPr>
        <w:t xml:space="preserve">Rounding is </w:t>
      </w:r>
      <w:r>
        <w:rPr>
          <w:rFonts w:ascii="Consolas" w:hAnsi="Consolas" w:cs="Consolas"/>
          <w:color w:val="A82C4A"/>
          <w:sz w:val="18"/>
        </w:rPr>
        <w:t>Math.round</w:t>
      </w:r>
      <w:r>
        <w:rPr>
          <w:rFonts w:ascii="Calibri" w:hAnsi="Calibri"/>
        </w:rPr>
        <w:t xml:space="preserve"> to whole taka at each step. If iDempiere rounds differently, the UI totals will drift from ERP totals — </w:t>
      </w:r>
      <w:r>
        <w:rPr>
          <w:rFonts w:ascii="Calibri" w:hAnsi="Calibri"/>
          <w:b/>
        </w:rPr>
        <w:t>please confirm the rounding convention.</w:t>
      </w:r>
    </w:p>
    <w:p>
      <w:r>
        <w:rPr>
          <w:rFonts w:ascii="Calibri" w:hAnsi="Calibri"/>
        </w:rPr>
        <w:t xml:space="preserve">Note that VDS and TDS are assessed on the </w:t>
      </w:r>
      <w:r>
        <w:rPr>
          <w:rFonts w:ascii="Calibri" w:hAnsi="Calibri"/>
          <w:b/>
        </w:rPr>
        <w:t>subtotal</w:t>
      </w:r>
      <w:r>
        <w:rPr>
          <w:rFonts w:ascii="Calibri" w:hAnsi="Calibri"/>
        </w:rPr>
        <w:t>, not the VAT-inclusive grand total. Deriving them from the grand total would tax the VAT.</w:t>
      </w:r>
    </w:p>
    <w:p>
      <w:pPr>
        <w:spacing w:before="80" w:after="200"/>
        <w:pBdr>
          <w:bottom w:val="single" w:sz="6" w:space="1" w:color="DCE3EA"/>
        </w:pBdr>
      </w:pPr>
    </w:p>
    <w:p>
      <w:pPr>
        <w:pStyle w:val="Heading2"/>
        <w:pBdr>
          <w:bottom w:val="single" w:sz="6" w:space="5" w:color="C9D6E4"/>
        </w:pBdr>
      </w:pPr>
      <w:r>
        <w:rPr>
          <w:rFonts w:ascii="Calibri" w:hAnsi="Calibri"/>
          <w:b/>
          <w:color w:val="1F4E79"/>
          <w:sz w:val="31"/>
        </w:rPr>
        <w:t>7. Summary of asks</w:t>
      </w:r>
    </w:p>
    <w:p>
      <w:r>
        <w:rPr>
          <w:rFonts w:ascii="Calibri" w:hAnsi="Calibri"/>
        </w:rPr>
        <w:t>Ranked by how much they simplify the frontend:</w:t>
      </w:r>
    </w:p>
    <w:p>
      <w:pPr>
        <w:spacing w:after="60"/>
        <w:ind w:left="720" w:hanging="432"/>
        <w:tabs>
          <w:tab w:val="left" w:pos="720"/>
        </w:tabs>
      </w:pPr>
      <w:r>
        <w:rPr>
          <w:rFonts w:ascii="Calibri" w:hAnsi="Calibri"/>
          <w:b/>
          <w:color w:val="2E74B5"/>
        </w:rPr>
        <w:t>1.</w:t>
        <w:tab/>
      </w:r>
      <w:r>
        <w:rPr>
          <w:rFonts w:ascii="Calibri" w:hAnsi="Calibri"/>
          <w:b/>
        </w:rPr>
        <w:t xml:space="preserve">Add </w:t>
      </w:r>
      <w:r>
        <w:rPr>
          <w:rFonts w:ascii="Consolas" w:hAnsi="Consolas" w:cs="Consolas"/>
          <w:b/>
          <w:color w:val="A82C4A"/>
          <w:sz w:val="18"/>
        </w:rPr>
        <w:t>billedAmount</w:t>
      </w:r>
      <w:r>
        <w:rPr>
          <w:rFonts w:ascii="Calibri" w:hAnsi="Calibri"/>
          <w:b/>
        </w:rPr>
        <w:t xml:space="preserve"> / </w:t>
      </w:r>
      <w:r>
        <w:rPr>
          <w:rFonts w:ascii="Consolas" w:hAnsi="Consolas" w:cs="Consolas"/>
          <w:b/>
          <w:color w:val="A82C4A"/>
          <w:sz w:val="18"/>
        </w:rPr>
        <w:t>paidAmount</w:t>
      </w:r>
      <w:r>
        <w:rPr>
          <w:rFonts w:ascii="Calibri" w:hAnsi="Calibri"/>
          <w:b/>
        </w:rPr>
        <w:t xml:space="preserve"> / </w:t>
      </w:r>
      <w:r>
        <w:rPr>
          <w:rFonts w:ascii="Consolas" w:hAnsi="Consolas" w:cs="Consolas"/>
          <w:b/>
          <w:color w:val="A82C4A"/>
          <w:sz w:val="18"/>
        </w:rPr>
        <w:t>dueAmount</w:t>
      </w:r>
      <w:r>
        <w:rPr>
          <w:rFonts w:ascii="Calibri" w:hAnsi="Calibri"/>
          <w:b/>
        </w:rPr>
        <w:t xml:space="preserve"> to the PO object.</w:t>
      </w:r>
      <w:r>
        <w:rPr>
          <w:rFonts w:ascii="Calibri" w:hAnsi="Calibri"/>
        </w:rPr>
        <w:t xml:space="preserve"> Removes a full-invoice-list download on three separate screens (§7, §9, §11).</w:t>
      </w:r>
    </w:p>
    <w:p>
      <w:pPr>
        <w:spacing w:after="60"/>
        <w:ind w:left="720" w:hanging="432"/>
        <w:tabs>
          <w:tab w:val="left" w:pos="720"/>
        </w:tabs>
      </w:pPr>
      <w:r>
        <w:rPr>
          <w:rFonts w:ascii="Calibri" w:hAnsi="Calibri"/>
          <w:b/>
          <w:color w:val="2E74B5"/>
        </w:rPr>
        <w:t>2.</w:t>
        <w:tab/>
      </w:r>
      <w:r>
        <w:rPr>
          <w:rFonts w:ascii="Calibri" w:hAnsi="Calibri"/>
          <w:b/>
        </w:rPr>
        <w:t xml:space="preserve">Add </w:t>
      </w:r>
      <w:r>
        <w:rPr>
          <w:rFonts w:ascii="Consolas" w:hAnsi="Consolas" w:cs="Consolas"/>
          <w:b/>
          <w:color w:val="A82C4A"/>
          <w:sz w:val="18"/>
        </w:rPr>
        <w:t>vdsAmount</w:t>
      </w:r>
      <w:r>
        <w:rPr>
          <w:rFonts w:ascii="Calibri" w:hAnsi="Calibri"/>
          <w:b/>
        </w:rPr>
        <w:t xml:space="preserve"> / </w:t>
      </w:r>
      <w:r>
        <w:rPr>
          <w:rFonts w:ascii="Consolas" w:hAnsi="Consolas" w:cs="Consolas"/>
          <w:b/>
          <w:color w:val="A82C4A"/>
          <w:sz w:val="18"/>
        </w:rPr>
        <w:t>tdsAmount</w:t>
      </w:r>
      <w:r>
        <w:rPr>
          <w:rFonts w:ascii="Calibri" w:hAnsi="Calibri"/>
          <w:b/>
        </w:rPr>
        <w:t xml:space="preserve"> to the PO object.</w:t>
      </w:r>
      <w:r>
        <w:rPr>
          <w:rFonts w:ascii="Calibri" w:hAnsi="Calibri"/>
        </w:rPr>
        <w:t xml:space="preserve"> Moves tax rates out of frontend constants.</w:t>
      </w:r>
    </w:p>
    <w:p>
      <w:pPr>
        <w:spacing w:after="60"/>
        <w:ind w:left="720" w:hanging="432"/>
        <w:tabs>
          <w:tab w:val="left" w:pos="720"/>
        </w:tabs>
      </w:pPr>
      <w:r>
        <w:rPr>
          <w:rFonts w:ascii="Calibri" w:hAnsi="Calibri"/>
          <w:b/>
          <w:color w:val="2E74B5"/>
        </w:rPr>
        <w:t>3.</w:t>
        <w:tab/>
      </w:r>
      <w:r>
        <w:rPr>
          <w:rFonts w:ascii="Calibri" w:hAnsi="Calibri"/>
          <w:b/>
        </w:rPr>
        <w:t xml:space="preserve">Add </w:t>
      </w:r>
      <w:r>
        <w:rPr>
          <w:rFonts w:ascii="Consolas" w:hAnsi="Consolas" w:cs="Consolas"/>
          <w:b/>
          <w:color w:val="A82C4A"/>
          <w:sz w:val="18"/>
        </w:rPr>
        <w:t>itemCount</w:t>
      </w:r>
      <w:r>
        <w:rPr>
          <w:rFonts w:ascii="Calibri" w:hAnsi="Calibri"/>
          <w:b/>
        </w:rPr>
        <w:t xml:space="preserve"> to the PO list response</w:t>
      </w:r>
      <w:r>
        <w:rPr>
          <w:rFonts w:ascii="Calibri" w:hAnsi="Calibri"/>
        </w:rPr>
        <w:t xml:space="preserve"> and let us drop </w:t>
      </w:r>
      <w:r>
        <w:rPr>
          <w:rFonts w:ascii="Consolas" w:hAnsi="Consolas" w:cs="Consolas"/>
          <w:color w:val="A82C4A"/>
          <w:sz w:val="18"/>
        </w:rPr>
        <w:t>items</w:t>
      </w:r>
      <w:r>
        <w:rPr>
          <w:rFonts w:ascii="Calibri" w:hAnsi="Calibri"/>
        </w:rPr>
        <w:t xml:space="preserve"> from it.</w:t>
      </w:r>
    </w:p>
    <w:p>
      <w:pPr>
        <w:spacing w:after="60"/>
        <w:ind w:left="720" w:hanging="432"/>
        <w:tabs>
          <w:tab w:val="left" w:pos="720"/>
        </w:tabs>
      </w:pPr>
      <w:r>
        <w:rPr>
          <w:rFonts w:ascii="Calibri" w:hAnsi="Calibri"/>
          <w:b/>
          <w:color w:val="2E74B5"/>
        </w:rPr>
        <w:t>4.</w:t>
        <w:tab/>
      </w:r>
      <w:r>
        <w:rPr>
          <w:rFonts w:ascii="Calibri" w:hAnsi="Calibri"/>
          <w:b/>
        </w:rPr>
        <w:t xml:space="preserve">Make </w:t>
      </w:r>
      <w:r>
        <w:rPr>
          <w:rFonts w:ascii="Consolas" w:hAnsi="Consolas" w:cs="Consolas"/>
          <w:b/>
          <w:color w:val="A82C4A"/>
          <w:sz w:val="18"/>
        </w:rPr>
        <w:t>vatChallanSubmitted</w:t>
      </w:r>
      <w:r>
        <w:rPr>
          <w:rFonts w:ascii="Calibri" w:hAnsi="Calibri"/>
          <w:b/>
        </w:rPr>
        <w:t xml:space="preserve"> and the bill attachment first-class invoice fields.</w:t>
      </w:r>
      <w:r>
        <w:rPr>
          <w:rFonts w:ascii="Calibri" w:hAnsi="Calibri"/>
        </w:rPr>
        <w:t xml:space="preserve"> Kills a string-matching hack in Payment History (§10).</w:t>
      </w:r>
    </w:p>
    <w:p>
      <w:pPr>
        <w:spacing w:after="60"/>
        <w:ind w:left="720" w:hanging="432"/>
        <w:tabs>
          <w:tab w:val="left" w:pos="720"/>
        </w:tabs>
      </w:pPr>
      <w:r>
        <w:rPr>
          <w:rFonts w:ascii="Calibri" w:hAnsi="Calibri"/>
          <w:b/>
          <w:color w:val="2E74B5"/>
        </w:rPr>
        <w:t>5.</w:t>
        <w:tab/>
      </w:r>
      <w:r>
        <w:rPr>
          <w:rFonts w:ascii="Calibri" w:hAnsi="Calibri"/>
          <w:b/>
        </w:rPr>
        <w:t xml:space="preserve">Add </w:t>
      </w:r>
      <w:r>
        <w:rPr>
          <w:rFonts w:ascii="Consolas" w:hAnsi="Consolas" w:cs="Consolas"/>
          <w:b/>
          <w:color w:val="A82C4A"/>
          <w:sz w:val="18"/>
        </w:rPr>
        <w:t>fileUrl</w:t>
      </w:r>
      <w:r>
        <w:rPr>
          <w:rFonts w:ascii="Calibri" w:hAnsi="Calibri"/>
          <w:b/>
        </w:rPr>
        <w:t xml:space="preserve"> to compliance documents</w:t>
      </w:r>
      <w:r>
        <w:rPr>
          <w:rFonts w:ascii="Calibri" w:hAnsi="Calibri"/>
        </w:rPr>
        <w:t xml:space="preserve"> so the download button works.</w:t>
      </w:r>
    </w:p>
    <w:p>
      <w:pPr>
        <w:spacing w:after="60"/>
        <w:ind w:left="720" w:hanging="432"/>
        <w:tabs>
          <w:tab w:val="left" w:pos="720"/>
        </w:tabs>
      </w:pPr>
      <w:r>
        <w:rPr>
          <w:rFonts w:ascii="Calibri" w:hAnsi="Calibri"/>
          <w:b/>
          <w:color w:val="2E74B5"/>
        </w:rPr>
        <w:t>6.</w:t>
        <w:tab/>
      </w:r>
      <w:r>
        <w:rPr>
          <w:rFonts w:ascii="Calibri" w:hAnsi="Calibri"/>
          <w:b/>
        </w:rPr>
        <w:t>Server-side report endpoints</w:t>
      </w:r>
      <w:r>
        <w:rPr>
          <w:rFonts w:ascii="Calibri" w:hAnsi="Calibri"/>
        </w:rPr>
        <w:t xml:space="preserve"> for the three Reports tabs (§16).</w:t>
      </w:r>
    </w:p>
    <w:p>
      <w:pPr>
        <w:spacing w:after="60"/>
        <w:ind w:left="720" w:hanging="432"/>
        <w:tabs>
          <w:tab w:val="left" w:pos="720"/>
        </w:tabs>
      </w:pPr>
      <w:r>
        <w:rPr>
          <w:rFonts w:ascii="Calibri" w:hAnsi="Calibri"/>
          <w:b/>
          <w:color w:val="2E74B5"/>
        </w:rPr>
        <w:t>7.</w:t>
        <w:tab/>
      </w:r>
      <w:r>
        <w:rPr>
          <w:rFonts w:ascii="Calibri" w:hAnsi="Calibri"/>
          <w:b/>
        </w:rPr>
        <w:t>Confirm:</w:t>
      </w:r>
      <w:r>
        <w:rPr>
          <w:rFonts w:ascii="Calibri" w:hAnsi="Calibri"/>
        </w:rPr>
        <w:t xml:space="preserve"> pagination style, list envelope, rounding convention, and whether </w:t>
      </w:r>
      <w:r>
        <w:rPr>
          <w:rFonts w:ascii="Consolas" w:hAnsi="Consolas" w:cs="Consolas"/>
          <w:color w:val="A82C4A"/>
          <w:sz w:val="18"/>
        </w:rPr>
        <w:t>link</w:t>
      </w:r>
      <w:r>
        <w:rPr>
          <w:rFonts w:ascii="Calibri" w:hAnsi="Calibri"/>
        </w:rPr>
        <w:t xml:space="preserve"> fields should be frontend routes or </w:t>
      </w:r>
      <w:r>
        <w:rPr>
          <w:rFonts w:ascii="Consolas" w:hAnsi="Consolas" w:cs="Consolas"/>
          <w:color w:val="A82C4A"/>
          <w:sz w:val="18"/>
        </w:rPr>
        <w:t>entityType</w:t>
      </w:r>
      <w:r>
        <w:rPr>
          <w:rFonts w:ascii="Calibri" w:hAnsi="Calibri"/>
        </w:rPr>
        <w:t xml:space="preserve"> + </w:t>
      </w:r>
      <w:r>
        <w:rPr>
          <w:rFonts w:ascii="Consolas" w:hAnsi="Consolas" w:cs="Consolas"/>
          <w:color w:val="A82C4A"/>
          <w:sz w:val="18"/>
        </w:rPr>
        <w:t>entityId</w:t>
      </w:r>
      <w:r>
        <w:rPr>
          <w:rFonts w:ascii="Calibri" w:hAnsi="Calibri"/>
        </w:rPr>
        <w:t>.</w:t>
      </w:r>
    </w:p>
    <w:p>
      <w:pPr>
        <w:spacing w:before="80" w:after="200"/>
        <w:pBdr>
          <w:bottom w:val="single" w:sz="6" w:space="1" w:color="DCE3EA"/>
        </w:pBdr>
      </w:pPr>
    </w:p>
    <w:p>
      <w:pPr>
        <w:pStyle w:val="Heading2"/>
        <w:pBdr>
          <w:bottom w:val="single" w:sz="6" w:space="5" w:color="C9D6E4"/>
        </w:pBdr>
      </w:pPr>
      <w:r>
        <w:rPr>
          <w:rFonts w:ascii="Calibri" w:hAnsi="Calibri"/>
          <w:b/>
          <w:color w:val="1F4E79"/>
          <w:sz w:val="31"/>
        </w:rPr>
        <w:t>8. Reference — where these shapes live in the frontend</w:t>
      </w:r>
    </w:p>
    <w:tbl>
      <w:tblPr>
        <w:tblStyle w:val="TableGrid"/>
        <w:tblW w:type="dxa" w:w="9604"/>
        <w:tblLayout w:type="fixed"/>
        <w:tblLook w:firstColumn="1" w:firstRow="1" w:lastColumn="0" w:lastRow="0" w:noHBand="0" w:noVBand="1" w:val="04A0"/>
        <w:tblBorders>
          <w:top w:val="single" w:sz="4" w:space="0" w:color="C6CED6"/>
          <w:left w:val="single" w:sz="4" w:space="0" w:color="C6CED6"/>
          <w:bottom w:val="single" w:sz="4" w:space="0" w:color="C6CED6"/>
          <w:right w:val="single" w:sz="4" w:space="0" w:color="C6CED6"/>
          <w:insideH w:val="single" w:sz="4" w:space="0" w:color="C6CED6"/>
          <w:insideV w:val="single" w:sz="4" w:space="0" w:color="C6CED6"/>
        </w:tblBorders>
        <w:tblLayout w:type="fixed"/>
      </w:tblPr>
      <w:tblGrid>
        <w:gridCol w:w="5428"/>
        <w:gridCol w:w="4176"/>
      </w:tblGrid>
      <w:tr>
        <w:trPr>
          <w:tblHeader w:val="true"/>
          <w:cantSplit w:val="true"/>
        </w:trPr>
        <w:tc>
          <w:tcPr>
            <w:tcW w:type="dxa" w:w="5429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Concern</w:t>
            </w:r>
          </w:p>
        </w:tc>
        <w:tc>
          <w:tcPr>
            <w:tcW w:type="dxa" w:w="4176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File</w:t>
            </w:r>
          </w:p>
        </w:tc>
      </w:tr>
      <w:tr>
        <w:trPr>
          <w:cantSplit w:val="true"/>
        </w:trPr>
        <w:tc>
          <w:tcPr>
            <w:tcW w:type="dxa" w:w="542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All TypeScript interfaces</w:t>
            </w:r>
          </w:p>
        </w:tc>
        <w:tc>
          <w:tcPr>
            <w:tcW w:type="dxa" w:w="417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7"/>
              </w:rPr>
              <w:t>src/lib/mock/types.ts</w:t>
            </w:r>
          </w:p>
        </w:tc>
      </w:tr>
      <w:tr>
        <w:trPr>
          <w:cantSplit w:val="true"/>
        </w:trPr>
        <w:tc>
          <w:tcPr>
            <w:tcW w:type="dxa" w:w="5429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Current mock API surface (function-per-endpoint)</w:t>
            </w:r>
          </w:p>
        </w:tc>
        <w:tc>
          <w:tcPr>
            <w:tcW w:type="dxa" w:w="4176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7"/>
              </w:rPr>
              <w:t>src/lib/mock/api.ts</w:t>
            </w:r>
          </w:p>
        </w:tc>
      </w:tr>
      <w:tr>
        <w:trPr>
          <w:cantSplit w:val="true"/>
        </w:trPr>
        <w:tc>
          <w:tcPr>
            <w:tcW w:type="dxa" w:w="542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React Query hooks — one per endpoint</w:t>
            </w:r>
          </w:p>
        </w:tc>
        <w:tc>
          <w:tcPr>
            <w:tcW w:type="dxa" w:w="417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7"/>
              </w:rPr>
              <w:t>src/lib/query/hooks.ts</w:t>
            </w:r>
          </w:p>
        </w:tc>
      </w:tr>
      <w:tr>
        <w:trPr>
          <w:cantSplit w:val="true"/>
        </w:trPr>
        <w:tc>
          <w:tcPr>
            <w:tcW w:type="dxa" w:w="5429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Permissions &amp; role matrix</w:t>
            </w:r>
          </w:p>
        </w:tc>
        <w:tc>
          <w:tcPr>
            <w:tcW w:type="dxa" w:w="4176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7"/>
              </w:rPr>
              <w:t>src/lib/rbac.ts</w:t>
            </w:r>
          </w:p>
        </w:tc>
      </w:tr>
      <w:tr>
        <w:trPr>
          <w:cantSplit w:val="true"/>
        </w:trPr>
        <w:tc>
          <w:tcPr>
            <w:tcW w:type="dxa" w:w="542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Tax rates &amp; formulas</w:t>
            </w:r>
          </w:p>
        </w:tc>
        <w:tc>
          <w:tcPr>
            <w:tcW w:type="dxa" w:w="417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7"/>
              </w:rPr>
              <w:t>src/lib/format/tax.ts</w:t>
            </w:r>
          </w:p>
        </w:tc>
      </w:tr>
      <w:tr>
        <w:trPr>
          <w:cantSplit w:val="true"/>
        </w:trPr>
        <w:tc>
          <w:tcPr>
            <w:tcW w:type="dxa" w:w="5429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Sidebar routes</w:t>
            </w:r>
          </w:p>
        </w:tc>
        <w:tc>
          <w:tcPr>
            <w:tcW w:type="dxa" w:w="4176"/>
            <w:shd w:val="clear" w:color="auto" w:fill="F2F5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7"/>
              </w:rPr>
              <w:t>src/components/shell/nav-items.ts</w:t>
            </w:r>
          </w:p>
        </w:tc>
      </w:tr>
      <w:tr>
        <w:trPr>
          <w:cantSplit w:val="true"/>
        </w:trPr>
        <w:tc>
          <w:tcPr>
            <w:tcW w:type="dxa" w:w="542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alibri" w:hAnsi="Calibri"/>
                <w:sz w:val="19"/>
              </w:rPr>
              <w:t>Screens</w:t>
            </w:r>
          </w:p>
        </w:tc>
        <w:tc>
          <w:tcPr>
            <w:tcW w:type="dxa" w:w="417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54" w:lineRule="auto"/>
              <w:jc w:val="left"/>
            </w:pPr>
            <w:r>
              <w:rPr>
                <w:rFonts w:ascii="Consolas" w:hAnsi="Consolas" w:cs="Consolas"/>
                <w:color w:val="A82C4A"/>
                <w:sz w:val="17"/>
              </w:rPr>
              <w:t>src/app/app/**/page.tsx</w:t>
            </w:r>
          </w:p>
        </w:tc>
      </w:tr>
    </w:tbl>
    <w:p>
      <w:pPr>
        <w:spacing w:after="80" w:before="0"/>
      </w:pPr>
    </w:p>
    <w:p>
      <w:r>
        <w:rPr>
          <w:rFonts w:ascii="Consolas" w:hAnsi="Consolas" w:cs="Consolas"/>
          <w:color w:val="A82C4A"/>
          <w:sz w:val="18"/>
        </w:rPr>
        <w:t>src/lib/mock/types.ts</w:t>
      </w:r>
      <w:r>
        <w:rPr>
          <w:rFonts w:ascii="Calibri" w:hAnsi="Calibri"/>
        </w:rPr>
        <w:t xml:space="preserve"> is the authoritative field list. When in doubt, read it — it is ~320 lines and fully commented. Swapping to real APIs means replacing the bodies in </w:t>
      </w:r>
      <w:r>
        <w:rPr>
          <w:rFonts w:ascii="Consolas" w:hAnsi="Consolas" w:cs="Consolas"/>
          <w:color w:val="A82C4A"/>
          <w:sz w:val="18"/>
        </w:rPr>
        <w:t>src/lib/mock/api.ts</w:t>
      </w:r>
      <w:r>
        <w:rPr>
          <w:rFonts w:ascii="Calibri" w:hAnsi="Calibri"/>
        </w:rPr>
        <w:t xml:space="preserve"> with </w:t>
      </w:r>
      <w:r>
        <w:rPr>
          <w:rFonts w:ascii="Consolas" w:hAnsi="Consolas" w:cs="Consolas"/>
          <w:color w:val="A82C4A"/>
          <w:sz w:val="18"/>
        </w:rPr>
        <w:t>fetch</w:t>
      </w:r>
      <w:r>
        <w:rPr>
          <w:rFonts w:ascii="Calibri" w:hAnsi="Calibri"/>
        </w:rPr>
        <w:t xml:space="preserve"> calls; nothing else in the app needs to change.</w:t>
      </w:r>
    </w:p>
    <w:sectPr w:rsidR="00FC693F" w:rsidRPr="0006063C" w:rsidSect="00034616">
      <w:footerReference w:type="default" r:id="rId9"/>
      <w:pgSz w:w="11909" w:h="16834"/>
      <w:pgMar w:top="1224" w:right="1080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6" w:color="D5DBE1"/>
      </w:pBdr>
    </w:pPr>
    <w:r>
      <w:rPr>
        <w:rFonts w:ascii="Calibri" w:hAnsi="Calibri"/>
        <w:color w:val="606A76"/>
        <w:sz w:val="16"/>
      </w:rPr>
      <w:t xml:space="preserve">Kazi Farms Supplier Portal — Frontend API Contract   ·   Page </w:t>
    </w:r>
    <w:r>
      <w:fldChar w:fldCharType="begin"/>
    </w:r>
    <w:r>
      <w:instrText xml:space="preserve">PAGE  \* MERGEFORMAT</w:instrText>
    </w:r>
    <w:r>
      <w:fldChar w:fldCharType="separate"/>
    </w:r>
    <w:r>
      <w:rPr>
        <w:rFonts w:ascii="Calibri" w:hAnsi="Calibri"/>
        <w:color w:val="606A76"/>
        <w:sz w:val="16"/>
      </w:rPr>
      <w:t>1</w:t>
    </w:r>
    <w:r>
      <w:fldChar w:fldCharType="end"/>
    </w:r>
    <w:r>
      <w:rPr>
        <w:rFonts w:ascii="Calibri" w:hAnsi="Calibri"/>
        <w:color w:val="606A76"/>
        <w:sz w:val="16"/>
      </w:rPr>
      <w:t xml:space="preserve"> of </w:t>
    </w:r>
    <w:r>
      <w:fldChar w:fldCharType="begin"/>
    </w:r>
    <w:r>
      <w:instrText xml:space="preserve">NUMPAGES  \* MERGEFORMAT</w:instrText>
    </w:r>
    <w:r>
      <w:fldChar w:fldCharType="separate"/>
    </w:r>
    <w:r>
      <w:rPr>
        <w:rFonts w:ascii="Calibri" w:hAnsi="Calibri"/>
        <w:color w:val="606A76"/>
        <w:sz w:val="16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before="0" w:line="274" w:lineRule="auto"/>
    </w:pPr>
    <w:rPr>
      <w:rFonts w:ascii="Calibri" w:hAnsi="Calibri" w:eastAsia="Calibri" w:cs="Nirmala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00"/>
      <w:outlineLvl w:val="0"/>
    </w:pPr>
    <w:rPr>
      <w:rFonts w:asciiTheme="majorHAnsi" w:eastAsiaTheme="majorEastAsia" w:hAnsiTheme="majorHAnsi" w:cstheme="majorBidi" w:ascii="Calibri" w:hAnsi="Calibri" w:cs="Calibri"/>
      <w:b/>
      <w:bCs/>
      <w:i w:val="0"/>
      <w:color w:val="1F4E7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00"/>
      <w:outlineLvl w:val="1"/>
    </w:pPr>
    <w:rPr>
      <w:rFonts w:asciiTheme="majorHAnsi" w:eastAsiaTheme="majorEastAsia" w:hAnsiTheme="majorHAnsi" w:cstheme="majorBidi" w:ascii="Calibri" w:hAnsi="Calibri" w:cs="Calibri"/>
      <w:b/>
      <w:bCs/>
      <w:i w:val="0"/>
      <w:color w:val="1F4E79"/>
      <w:sz w:val="3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i w:val="0"/>
      <w:color w:val="2E74B5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20" w:after="100"/>
      <w:outlineLvl w:val="3"/>
    </w:pPr>
    <w:rPr>
      <w:rFonts w:asciiTheme="majorHAnsi" w:eastAsiaTheme="majorEastAsia" w:hAnsiTheme="majorHAnsi" w:cstheme="majorBidi" w:ascii="Calibri" w:hAnsi="Calibri" w:cs="Calibri"/>
      <w:b/>
      <w:bCs/>
      <w:i w:val="0"/>
      <w:iCs/>
      <w:color w:val="2E74B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20" w:after="100"/>
      <w:outlineLvl w:val="4"/>
    </w:pPr>
    <w:rPr>
      <w:rFonts w:asciiTheme="majorHAnsi" w:eastAsiaTheme="majorEastAsia" w:hAnsiTheme="majorHAnsi" w:cstheme="majorBidi" w:ascii="Calibri" w:hAnsi="Calibri" w:cs="Calibri"/>
      <w:b/>
      <w:i w:val="0"/>
      <w:color w:val="2E74B5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kfg-supplier-portal.vercel.app/" TargetMode="External"/><Relationship Id="rId11" Type="http://schemas.openxmlformats.org/officeDocument/2006/relationships/hyperlink" Target="https://kfg-supplier-portal.vercel.app/login" TargetMode="External"/><Relationship Id="rId12" Type="http://schemas.openxmlformats.org/officeDocument/2006/relationships/hyperlink" Target="https://kfg-supplier-portal.vercel.app/app" TargetMode="External"/><Relationship Id="rId13" Type="http://schemas.openxmlformats.org/officeDocument/2006/relationships/hyperlink" Target="https://kfg-supplier-portal.vercel.app/app/tenders" TargetMode="External"/><Relationship Id="rId14" Type="http://schemas.openxmlformats.org/officeDocument/2006/relationships/hyperlink" Target="https://kfg-supplier-portal.vercel.app/app/tenders/tnd-002" TargetMode="External"/><Relationship Id="rId15" Type="http://schemas.openxmlformats.org/officeDocument/2006/relationships/hyperlink" Target="https://kfg-supplier-portal.vercel.app/app/tenders/tnd-001/bid" TargetMode="External"/><Relationship Id="rId16" Type="http://schemas.openxmlformats.org/officeDocument/2006/relationships/hyperlink" Target="https://kfg-supplier-portal.vercel.app/app/bids" TargetMode="External"/><Relationship Id="rId17" Type="http://schemas.openxmlformats.org/officeDocument/2006/relationships/hyperlink" Target="https://kfg-supplier-portal.vercel.app/app/bids/bid-002" TargetMode="External"/><Relationship Id="rId18" Type="http://schemas.openxmlformats.org/officeDocument/2006/relationships/hyperlink" Target="https://kfg-supplier-portal.vercel.app/app/purchase-orders" TargetMode="External"/><Relationship Id="rId19" Type="http://schemas.openxmlformats.org/officeDocument/2006/relationships/hyperlink" Target="https://kfg-supplier-portal.vercel.app/app/purchase-orders/po-008" TargetMode="External"/><Relationship Id="rId20" Type="http://schemas.openxmlformats.org/officeDocument/2006/relationships/hyperlink" Target="https://kfg-supplier-portal.vercel.app/app/bills" TargetMode="External"/><Relationship Id="rId21" Type="http://schemas.openxmlformats.org/officeDocument/2006/relationships/hyperlink" Target="https://kfg-supplier-portal.vercel.app/app/bills/po-008" TargetMode="External"/><Relationship Id="rId22" Type="http://schemas.openxmlformats.org/officeDocument/2006/relationships/hyperlink" Target="https://kfg-supplier-portal.vercel.app/app/payments" TargetMode="External"/><Relationship Id="rId23" Type="http://schemas.openxmlformats.org/officeDocument/2006/relationships/hyperlink" Target="https://kfg-supplier-portal.vercel.app/app/invoices" TargetMode="External"/><Relationship Id="rId24" Type="http://schemas.openxmlformats.org/officeDocument/2006/relationships/hyperlink" Target="https://kfg-supplier-portal.vercel.app/app/invoices/inv-001" TargetMode="External"/><Relationship Id="rId25" Type="http://schemas.openxmlformats.org/officeDocument/2006/relationships/hyperlink" Target="https://kfg-supplier-portal.vercel.app/app/invoices/new" TargetMode="External"/><Relationship Id="rId26" Type="http://schemas.openxmlformats.org/officeDocument/2006/relationships/hyperlink" Target="https://kfg-supplier-portal.vercel.app/app/documents" TargetMode="External"/><Relationship Id="rId27" Type="http://schemas.openxmlformats.org/officeDocument/2006/relationships/hyperlink" Target="https://kfg-supplier-portal.vercel.app/app/reports" TargetMode="External"/><Relationship Id="rId28" Type="http://schemas.openxmlformats.org/officeDocument/2006/relationships/hyperlink" Target="https://kfg-supplier-portal.vercel.app/app/notifications" TargetMode="External"/><Relationship Id="rId29" Type="http://schemas.openxmlformats.org/officeDocument/2006/relationships/hyperlink" Target="https://kfg-supplier-portal.vercel.app/app/prof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