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36"/>
          <w:szCs w:val="36"/>
        </w:rPr>
        <w:t xml:space="preserve">SCOPE — AI Evidence Classifier</w:t>
      </w:r>
    </w:p>
    <w:p>
      <w:pPr>
        <w:spacing w:after="60"/>
      </w:pPr>
      <w:r>
        <w:rPr>
          <w:rFonts w:ascii="Calibri" w:cs="Calibri" w:eastAsia="Calibri" w:hAnsi="Calibri"/>
          <w:b/>
          <w:bCs/>
          <w:color w:val="000000"/>
          <w:sz w:val="26"/>
          <w:szCs w:val="26"/>
        </w:rPr>
        <w:t xml:space="preserve">What changed from vit-scope-v1 to vit-scope-v2</w:t>
      </w:r>
    </w:p>
    <w:p>
      <w:pPr>
        <w:spacing w:after="40" w:line="276"/>
      </w:pPr>
      <w:r>
        <w:rPr>
          <w:rFonts w:ascii="Calibri" w:cs="Calibri" w:eastAsia="Calibri" w:hAnsi="Calibri"/>
          <w:color w:val="595959"/>
          <w:sz w:val="20"/>
          <w:szCs w:val="20"/>
        </w:rPr>
        <w:t xml:space="preserve">Prepared for supervisor review · 25 September 2026</w:t>
      </w:r>
    </w:p>
    <w:p>
      <w:pPr>
        <w:pBdr>
          <w:bottom w:val="single" w:color="D0D7DE" w:sz="6" w:space="1"/>
        </w:pBdr>
        <w:spacing w:after="160" w:before="60"/>
      </w:pPr>
    </w:p>
    <w:p>
      <w:pPr>
        <w:spacing w:after="140" w:line="276"/>
      </w:pPr>
      <w:r>
        <w:rPr>
          <w:rFonts w:ascii="Calibri" w:cs="Calibri" w:eastAsia="Calibri" w:hAnsi="Calibri"/>
          <w:i/>
          <w:iCs/>
          <w:color w:val="595959"/>
          <w:sz w:val="22"/>
          <w:szCs w:val="22"/>
        </w:rPr>
        <w:t xml:space="preserve">In one sentence: v1's headline number was measured in a way that flattered it. v2 fixes the measurement and strengthens the training recipe, and arrives at essentially the same precision and recall — except that this time the figures are independent estimates rather than an upper bound on themselves.</w:t>
      </w:r>
    </w:p>
    <w:p>
      <w:pPr>
        <w:pStyle w:val="Heading1"/>
        <w:spacing w:after="160" w:before="320"/>
      </w:pPr>
      <w:r>
        <w:rPr>
          <w:rFonts w:ascii="Calibri" w:cs="Calibri" w:eastAsia="Calibri" w:hAnsi="Calibri"/>
          <w:b/>
          <w:bCs/>
          <w:color w:val="1F4E79"/>
          <w:sz w:val="28"/>
          <w:szCs w:val="28"/>
        </w:rPr>
        <w:t xml:space="preserve">1. What the model does</w:t>
      </w:r>
    </w:p>
    <w:p>
      <w:pPr>
        <w:spacing w:after="140" w:line="276"/>
      </w:pPr>
      <w:r>
        <w:rPr>
          <w:rFonts w:ascii="Calibri" w:cs="Calibri" w:eastAsia="Calibri" w:hAnsi="Calibri"/>
          <w:sz w:val="22"/>
          <w:szCs w:val="22"/>
        </w:rPr>
        <w:t xml:space="preserve">When a citizen submits a report, the mobile app sends the photographs to the backend. The classifier returns one number per photograph — the probability that it shows a smoking violation. The backend compares that number against a confidence threshold, and accepts the report if at least one photograph clears it (screen S10).</w:t>
      </w:r>
    </w:p>
    <w:p>
      <w:pPr>
        <w:spacing w:after="140" w:line="276"/>
      </w:pPr>
      <w:r>
        <w:rPr>
          <w:rFonts w:ascii="Calibri" w:cs="Calibri" w:eastAsia="Calibri" w:hAnsi="Calibri"/>
          <w:sz w:val="22"/>
          <w:szCs w:val="22"/>
        </w:rPr>
        <w:t xml:space="preserve">So there are two things to get right, not one: the model, and the threshold it is read against.</w:t>
      </w:r>
    </w:p>
    <w:p>
      <w:pPr>
        <w:spacing w:after="100" w:line="276"/>
      </w:pPr>
      <w:r>
        <w:rPr>
          <w:rFonts w:ascii="Calibri" w:cs="Calibri" w:eastAsia="Calibri" w:hAnsi="Calibri"/>
          <w:sz w:val="22"/>
          <w:szCs w:val="22"/>
        </w:rPr>
        <w:t xml:space="preserve">Dataset used for both versions (identical, so the comparison is fair):</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5560"/>
        <w:gridCol w:w="1800"/>
      </w:tblGrid>
      <w:tr>
        <w:trPr>
          <w:tblHeader/>
        </w:trPr>
        <w:tc>
          <w:tcPr>
            <w:tcW w:type="dxa" w:w="2000"/>
            <w:shd w:fill="EAF1F8" w:color="auto" w:val="clear"/>
            <w:tcMar>
              <w:top w:type="dxa" w:w="80"/>
              <w:left w:type="dxa" w:w="120"/>
              <w:bottom w:type="dxa" w:w="80"/>
              <w:right w:type="dxa" w:w="120"/>
            </w:tcMar>
          </w:tcPr>
          <w:p>
            <w:pPr>
              <w:spacing w:after="0" w:line="260"/>
            </w:pPr>
            <w:r>
              <w:rPr>
                <w:rFonts w:ascii="Calibri" w:cs="Calibri" w:eastAsia="Calibri" w:hAnsi="Calibri"/>
                <w:b/>
                <w:bCs/>
                <w:color w:val="000000"/>
                <w:sz w:val="20"/>
                <w:szCs w:val="20"/>
              </w:rPr>
              <w:t xml:space="preserve">Split</w:t>
            </w:r>
          </w:p>
        </w:tc>
        <w:tc>
          <w:tcPr>
            <w:tcW w:type="dxa" w:w="5560"/>
            <w:shd w:fill="EAF1F8" w:color="auto" w:val="clear"/>
            <w:tcMar>
              <w:top w:type="dxa" w:w="80"/>
              <w:left w:type="dxa" w:w="120"/>
              <w:bottom w:type="dxa" w:w="80"/>
              <w:right w:type="dxa" w:w="120"/>
            </w:tcMar>
          </w:tcPr>
          <w:p>
            <w:pPr>
              <w:spacing w:after="0" w:line="260"/>
            </w:pPr>
            <w:r>
              <w:rPr>
                <w:rFonts w:ascii="Calibri" w:cs="Calibri" w:eastAsia="Calibri" w:hAnsi="Calibri"/>
                <w:b/>
                <w:bCs/>
                <w:color w:val="000000"/>
                <w:sz w:val="20"/>
                <w:szCs w:val="20"/>
              </w:rPr>
              <w:t xml:space="preserve">Purpose</w:t>
            </w:r>
          </w:p>
        </w:tc>
        <w:tc>
          <w:tcPr>
            <w:tcW w:type="dxa" w:w="1800"/>
            <w:shd w:fill="EAF1F8" w:color="auto" w:val="clear"/>
            <w:tcMar>
              <w:top w:type="dxa" w:w="80"/>
              <w:left w:type="dxa" w:w="120"/>
              <w:bottom w:type="dxa" w:w="80"/>
              <w:right w:type="dxa" w:w="120"/>
            </w:tcMar>
          </w:tcPr>
          <w:p>
            <w:pPr>
              <w:spacing w:after="0" w:line="260"/>
              <w:jc w:val="right"/>
            </w:pPr>
            <w:r>
              <w:rPr>
                <w:rFonts w:ascii="Calibri" w:cs="Calibri" w:eastAsia="Calibri" w:hAnsi="Calibri"/>
                <w:b/>
                <w:bCs/>
                <w:color w:val="000000"/>
                <w:sz w:val="20"/>
                <w:szCs w:val="20"/>
              </w:rPr>
              <w:t xml:space="preserve">Images</w:t>
            </w:r>
          </w:p>
        </w:tc>
      </w:tr>
      <w:tr>
        <w:trPr>
          <w:tblHeader w:val="false"/>
        </w:trPr>
        <w:tc>
          <w:tcPr>
            <w:tcW w:type="dxa" w:w="20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Train</w:t>
            </w:r>
          </w:p>
        </w:tc>
        <w:tc>
          <w:tcPr>
            <w:tcW w:type="dxa" w:w="55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The model learns from these</w:t>
            </w:r>
          </w:p>
        </w:tc>
        <w:tc>
          <w:tcPr>
            <w:tcW w:type="dxa" w:w="18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1,358</w:t>
            </w:r>
          </w:p>
        </w:tc>
      </w:tr>
      <w:tr>
        <w:trPr>
          <w:tblHeader w:val="false"/>
        </w:trPr>
        <w:tc>
          <w:tcPr>
            <w:tcW w:type="dxa" w:w="20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Validation</w:t>
            </w:r>
          </w:p>
        </w:tc>
        <w:tc>
          <w:tcPr>
            <w:tcW w:type="dxa" w:w="55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Tuning decisions are made here</w:t>
            </w:r>
          </w:p>
        </w:tc>
        <w:tc>
          <w:tcPr>
            <w:tcW w:type="dxa" w:w="18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290</w:t>
            </w:r>
          </w:p>
        </w:tc>
      </w:tr>
      <w:tr>
        <w:trPr>
          <w:tblHeader w:val="false"/>
        </w:trPr>
        <w:tc>
          <w:tcPr>
            <w:tcW w:type="dxa" w:w="20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Test</w:t>
            </w:r>
          </w:p>
        </w:tc>
        <w:tc>
          <w:tcPr>
            <w:tcW w:type="dxa" w:w="55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Touched once, to report the final figure</w:t>
            </w:r>
          </w:p>
        </w:tc>
        <w:tc>
          <w:tcPr>
            <w:tcW w:type="dxa" w:w="18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293</w:t>
            </w:r>
          </w:p>
        </w:tc>
      </w:tr>
      <w:tr>
        <w:trPr>
          <w:tblHeader w:val="false"/>
        </w:trPr>
        <w:tc>
          <w:tcPr>
            <w:tcW w:type="dxa" w:w="20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Total</w:t>
            </w:r>
          </w:p>
        </w:tc>
        <w:tc>
          <w:tcPr>
            <w:tcW w:type="dxa" w:w="55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After removing 69 near-duplicate images</w:t>
            </w:r>
          </w:p>
        </w:tc>
        <w:tc>
          <w:tcPr>
            <w:tcW w:type="dxa" w:w="18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1,941</w:t>
            </w:r>
          </w:p>
        </w:tc>
      </w:tr>
    </w:tbl>
    <w:p>
      <w:pPr>
        <w:spacing w:after="140" w:line="276"/>
      </w:pPr>
      <w:r>
        <w:rPr>
          <w:rFonts w:ascii="Calibri" w:cs="Calibri" w:eastAsia="Calibri" w:hAnsi="Calibri"/>
          <w:color w:val="595959"/>
          <w:sz w:val="20"/>
          <w:szCs w:val="20"/>
        </w:rPr>
        <w:t xml:space="preserve">Source: the public Kaggle / Mendeley smoking vs. not-smoking corpus (CC BY 4.0). Duplicates were removed by perceptual hash, and near-identical frames were kept inside a single split, so no image in the test set has a twin in the training set.</w:t>
      </w:r>
    </w:p>
    <w:p>
      <w:pPr>
        <w:pStyle w:val="Heading1"/>
        <w:spacing w:after="160" w:before="320"/>
      </w:pPr>
      <w:r>
        <w:rPr>
          <w:rFonts w:ascii="Calibri" w:cs="Calibri" w:eastAsia="Calibri" w:hAnsi="Calibri"/>
          <w:b/>
          <w:bCs/>
          <w:color w:val="1F4E79"/>
          <w:sz w:val="28"/>
          <w:szCs w:val="28"/>
        </w:rPr>
        <w:t xml:space="preserve">2. Where v1 stood, and why it was not good enough</w:t>
      </w:r>
    </w:p>
    <w:p>
      <w:pPr>
        <w:spacing w:after="140" w:line="276"/>
      </w:pPr>
      <w:r>
        <w:rPr>
          <w:rFonts w:ascii="Calibri" w:cs="Calibri" w:eastAsia="Calibri" w:hAnsi="Calibri"/>
          <w:sz w:val="22"/>
          <w:szCs w:val="22"/>
        </w:rPr>
        <w:t xml:space="preserve">v1 reported 97.7% precision on the test set at threshold 0.70. That is a strong-looking number, and the feedback received was that the work was not yet rigorous enough. On inspection, the problem was not that precision was low — it was how the number was produced.</w:t>
      </w:r>
    </w:p>
    <w:p>
      <w:pPr>
        <w:spacing w:after="140" w:line="276"/>
      </w:pPr>
      <w:r>
        <w:rPr>
          <w:rFonts w:ascii="Calibri" w:cs="Calibri" w:eastAsia="Calibri" w:hAnsi="Calibri"/>
          <w:b/>
          <w:bCs/>
          <w:sz w:val="22"/>
          <w:szCs w:val="22"/>
        </w:rPr>
        <w:t xml:space="preserve">The threshold was chosen by looking at the test set. </w:t>
      </w:r>
      <w:r>
        <w:rPr>
          <w:rFonts w:ascii="Calibri" w:cs="Calibri" w:eastAsia="Calibri" w:hAnsi="Calibri"/>
          <w:b w:val="false"/>
          <w:bCs w:val="false"/>
          <w:i w:val="false"/>
          <w:iCs w:val="false"/>
          <w:sz w:val="22"/>
          <w:szCs w:val="22"/>
        </w:rPr>
        <w:t xml:space="preserve">The 0.70 cut-off was picked by sweeping the very same 293 test images the 97.7% was then claimed on. A threshold is a parameter fitted to data, exactly like a model weight. Fitting it on the test set and then reporting on that set measures the model on images the operating point was chosen to suit, so 97.7% is an upper bound on itself rather than an independent estimate.</w:t>
      </w:r>
    </w:p>
    <w:p>
      <w:pPr>
        <w:spacing w:after="140" w:line="276"/>
      </w:pPr>
      <w:r>
        <w:rPr>
          <w:rFonts w:ascii="Calibri" w:cs="Calibri" w:eastAsia="Calibri" w:hAnsi="Calibri"/>
          <w:b/>
          <w:bCs/>
          <w:sz w:val="22"/>
          <w:szCs w:val="22"/>
        </w:rPr>
        <w:t xml:space="preserve">Training was optimising the wrong quantity. </w:t>
      </w:r>
      <w:r>
        <w:rPr>
          <w:rFonts w:ascii="Calibri" w:cs="Calibri" w:eastAsia="Calibri" w:hAnsi="Calibri"/>
          <w:b w:val="false"/>
          <w:bCs w:val="false"/>
          <w:i w:val="false"/>
          <w:iCs w:val="false"/>
          <w:sz w:val="22"/>
          <w:szCs w:val="22"/>
        </w:rPr>
        <w:t xml:space="preserve">v1 was trained with accuracy as its metric and kept whichever checkpoint had the lowest validation loss. Neither of those is precision — which is the quantity that matters here, because a false positive sends an invalid report to enforcement with nothing downstream to catch it.</w:t>
      </w:r>
    </w:p>
    <w:p>
      <w:pPr>
        <w:spacing w:after="140" w:line="276"/>
      </w:pPr>
      <w:r>
        <w:rPr>
          <w:rFonts w:ascii="Calibri" w:cs="Calibri" w:eastAsia="Calibri" w:hAnsi="Calibri"/>
          <w:b/>
          <w:bCs/>
          <w:sz w:val="22"/>
          <w:szCs w:val="22"/>
        </w:rPr>
        <w:t xml:space="preserve">Augmentation was too light for the model and the task. </w:t>
      </w:r>
      <w:r>
        <w:rPr>
          <w:rFonts w:ascii="Calibri" w:cs="Calibri" w:eastAsia="Calibri" w:hAnsi="Calibri"/>
          <w:b w:val="false"/>
          <w:bCs w:val="false"/>
          <w:i w:val="false"/>
          <w:iCs w:val="false"/>
          <w:sz w:val="22"/>
          <w:szCs w:val="22"/>
        </w:rPr>
        <w:t xml:space="preserve">v1 used a horizontal flip plus some brightness and colour jitter. That is a CNN-era recipe; a Vision Transformer with this many parameters overfits 1,358 images through it. It also did nothing to rehearse the real-world gap — actual submissions are taken further away, with more motion blur and worse light than web-sourced photographs.</w:t>
      </w:r>
    </w:p>
    <w:p>
      <w:pPr>
        <w:pStyle w:val="Heading1"/>
        <w:spacing w:after="160" w:before="320"/>
      </w:pPr>
      <w:r>
        <w:rPr>
          <w:rFonts w:ascii="Calibri" w:cs="Calibri" w:eastAsia="Calibri" w:hAnsi="Calibri"/>
          <w:b/>
          <w:bCs/>
          <w:color w:val="1F4E79"/>
          <w:sz w:val="28"/>
          <w:szCs w:val="28"/>
        </w:rPr>
        <w:t xml:space="preserve">3. What was changed for v2</w:t>
      </w:r>
    </w:p>
    <w:p>
      <w:pPr>
        <w:spacing w:after="120" w:line="276"/>
      </w:pPr>
      <w:r>
        <w:rPr>
          <w:rFonts w:ascii="Calibri" w:cs="Calibri" w:eastAsia="Calibri" w:hAnsi="Calibri"/>
          <w:sz w:val="22"/>
          <w:szCs w:val="22"/>
        </w:rPr>
        <w:t xml:space="preserve">Four changes, all present in the training notebook and the evaluation scripts: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4200"/>
        <w:gridCol w:w="2760"/>
      </w:tblGrid>
      <w:tr>
        <w:trPr>
          <w:tblHeader/>
        </w:trPr>
        <w:tc>
          <w:tcPr>
            <w:tcW w:type="dxa" w:w="2400"/>
            <w:shd w:fill="EAF1F8" w:color="auto" w:val="clear"/>
            <w:tcMar>
              <w:top w:type="dxa" w:w="80"/>
              <w:left w:type="dxa" w:w="120"/>
              <w:bottom w:type="dxa" w:w="80"/>
              <w:right w:type="dxa" w:w="120"/>
            </w:tcMar>
          </w:tcPr>
          <w:p>
            <w:pPr>
              <w:spacing w:after="0" w:line="260"/>
            </w:pPr>
            <w:r>
              <w:rPr>
                <w:rFonts w:ascii="Calibri" w:cs="Calibri" w:eastAsia="Calibri" w:hAnsi="Calibri"/>
                <w:b/>
                <w:bCs/>
                <w:color w:val="000000"/>
                <w:sz w:val="20"/>
                <w:szCs w:val="20"/>
              </w:rPr>
              <w:t xml:space="preserve">Change</w:t>
            </w:r>
          </w:p>
        </w:tc>
        <w:tc>
          <w:tcPr>
            <w:tcW w:type="dxa" w:w="4200"/>
            <w:shd w:fill="EAF1F8" w:color="auto" w:val="clear"/>
            <w:tcMar>
              <w:top w:type="dxa" w:w="80"/>
              <w:left w:type="dxa" w:w="120"/>
              <w:bottom w:type="dxa" w:w="80"/>
              <w:right w:type="dxa" w:w="120"/>
            </w:tcMar>
          </w:tcPr>
          <w:p>
            <w:pPr>
              <w:spacing w:after="0" w:line="260"/>
            </w:pPr>
            <w:r>
              <w:rPr>
                <w:rFonts w:ascii="Calibri" w:cs="Calibri" w:eastAsia="Calibri" w:hAnsi="Calibri"/>
                <w:b/>
                <w:bCs/>
                <w:color w:val="000000"/>
                <w:sz w:val="20"/>
                <w:szCs w:val="20"/>
              </w:rPr>
              <w:t xml:space="preserve">What it means in plain terms</w:t>
            </w:r>
          </w:p>
        </w:tc>
        <w:tc>
          <w:tcPr>
            <w:tcW w:type="dxa" w:w="2760"/>
            <w:shd w:fill="EAF1F8" w:color="auto" w:val="clear"/>
            <w:tcMar>
              <w:top w:type="dxa" w:w="80"/>
              <w:left w:type="dxa" w:w="120"/>
              <w:bottom w:type="dxa" w:w="80"/>
              <w:right w:type="dxa" w:w="120"/>
            </w:tcMar>
          </w:tcPr>
          <w:p>
            <w:pPr>
              <w:spacing w:after="0" w:line="260"/>
            </w:pPr>
            <w:r>
              <w:rPr>
                <w:rFonts w:ascii="Calibri" w:cs="Calibri" w:eastAsia="Calibri" w:hAnsi="Calibri"/>
                <w:b/>
                <w:bCs/>
                <w:color w:val="000000"/>
                <w:sz w:val="20"/>
                <w:szCs w:val="20"/>
              </w:rPr>
              <w:t xml:space="preserve">Why</w:t>
            </w:r>
          </w:p>
        </w:tc>
      </w:tr>
      <w:tr>
        <w:trPr>
          <w:tblHeader w:val="false"/>
        </w:trP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Threshold selected on validation, reported on test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The cut-off is now chosen using the 290 validation images, frozen, and only then applied once to the test set.</w:t>
            </w:r>
          </w:p>
        </w:tc>
        <w:tc>
          <w:tcPr>
            <w:tcW w:type="dxa" w:w="27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Makes the reported precision an honest, independent estimate.</w:t>
            </w:r>
          </w:p>
        </w:tc>
      </w:tr>
      <w:tr>
        <w:trPr>
          <w:tblHeader w:val="false"/>
        </w:trP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Stronger augmentation (DeiT-style)</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Random zoom-crops, flips, a RandAugment-style colour policy, and simulated phone-camera damage: blur, motion blur, downscaling, JPEG compression, random erasing.</w:t>
            </w:r>
          </w:p>
        </w:tc>
        <w:tc>
          <w:tcPr>
            <w:tcW w:type="dxa" w:w="27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Fights overfitting and rehearses the distance, blur and poor light of real submissions.</w:t>
            </w:r>
          </w:p>
        </w:tc>
      </w:tr>
      <w:tr>
        <w:trPr>
          <w:tblHeader w:val="false"/>
        </w:trP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Training now measures precision, recall and PR-AUC</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The metrics read the smoking-class column directly, and both training stages stop early on the best PR-AUC rather than the lowest loss.</w:t>
            </w:r>
          </w:p>
        </w:tc>
        <w:tc>
          <w:tcPr>
            <w:tcW w:type="dxa" w:w="27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The checkpoint that is kept is the one that serves the actual task best.</w:t>
            </w:r>
          </w:p>
        </w:tc>
      </w:tr>
      <w:tr>
        <w:trPr>
          <w:tblHeader w:val="false"/>
        </w:trP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Label smoothing (0.1)</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Targets are softened from 0/1 to 0.05/0.95 inside the loss function.</w:t>
            </w:r>
          </w:p>
        </w:tc>
        <w:tc>
          <w:tcPr>
            <w:tcW w:type="dxa" w:w="27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v1 was over-confident (average score 0.94 vs 0.06). Softer targets make the confidence shown to administrators more meaningful.</w:t>
            </w:r>
          </w:p>
        </w:tc>
      </w:tr>
    </w:tbl>
    <w:p>
      <w:pPr>
        <w:spacing w:after="140" w:line="276"/>
      </w:pPr>
      <w:r>
        <w:rPr>
          <w:rFonts w:ascii="Calibri" w:cs="Calibri" w:eastAsia="Calibri" w:hAnsi="Calibri"/>
          <w:color w:val="595959"/>
          <w:sz w:val="20"/>
          <w:szCs w:val="20"/>
        </w:rPr>
        <w:t xml:space="preserve">Everything else is unchanged and deliberately so: the same ImageNet-21k ViT-Base checkpoint, the same two-stage fine-tune (train the head with the backbone frozen, then unfreeze at a low learning rate), and the same data split. Only the listed items differ, so the comparison attributes the change to the right cause.</w:t>
      </w:r>
    </w:p>
    <w:p>
      <w:pPr>
        <w:spacing w:after="140" w:line="276"/>
      </w:pPr>
      <w:r>
        <w:rPr>
          <w:rFonts w:ascii="Calibri" w:cs="Calibri" w:eastAsia="Calibri" w:hAnsi="Calibri"/>
          <w:color w:val="595959"/>
          <w:sz w:val="20"/>
          <w:szCs w:val="20"/>
        </w:rPr>
        <w:t xml:space="preserve">Both versions are built with Keras 3 and KerasHub on TensorFlow, and exported as a single .keras file (vit-scope-v2.keras) that the backend loads at startup. KerasHub was used rather than HuggingFace Transformers because the latter has dropped TensorFlow support entirely.</w:t>
      </w:r>
    </w:p>
    <w:p>
      <w:pPr>
        <w:pStyle w:val="Heading1"/>
        <w:spacing w:after="160" w:before="320"/>
      </w:pPr>
      <w:r>
        <w:rPr>
          <w:rFonts w:ascii="Calibri" w:cs="Calibri" w:eastAsia="Calibri" w:hAnsi="Calibri"/>
          <w:b/>
          <w:bCs/>
          <w:color w:val="1F4E79"/>
          <w:sz w:val="28"/>
          <w:szCs w:val="28"/>
        </w:rPr>
        <w:t xml:space="preserve">4. Results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360"/>
        <w:gridCol w:w="3000"/>
        <w:gridCol w:w="3000"/>
      </w:tblGrid>
      <w:tr>
        <w:trPr>
          <w:tblHeader/>
        </w:trPr>
        <w:tc>
          <w:tcPr>
            <w:tcW w:type="dxa" w:w="3360"/>
            <w:shd w:fill="EAF1F8" w:color="auto" w:val="clear"/>
            <w:tcMar>
              <w:top w:type="dxa" w:w="80"/>
              <w:left w:type="dxa" w:w="120"/>
              <w:bottom w:type="dxa" w:w="80"/>
              <w:right w:type="dxa" w:w="120"/>
            </w:tcMar>
          </w:tcPr>
          <w:p>
            <w:pPr>
              <w:spacing w:after="0" w:line="260"/>
            </w:pPr>
            <w:r>
              <w:rPr>
                <w:rFonts w:ascii="Calibri" w:cs="Calibri" w:eastAsia="Calibri" w:hAnsi="Calibri"/>
                <w:b/>
                <w:bCs/>
                <w:color w:val="000000"/>
                <w:sz w:val="20"/>
                <w:szCs w:val="20"/>
              </w:rPr>
              <w:t xml:space="preserve"/>
            </w:r>
          </w:p>
        </w:tc>
        <w:tc>
          <w:tcPr>
            <w:tcW w:type="dxa" w:w="3000"/>
            <w:shd w:fill="EAF1F8" w:color="auto" w:val="clear"/>
            <w:tcMar>
              <w:top w:type="dxa" w:w="80"/>
              <w:left w:type="dxa" w:w="120"/>
              <w:bottom w:type="dxa" w:w="80"/>
              <w:right w:type="dxa" w:w="120"/>
            </w:tcMar>
          </w:tcPr>
          <w:p>
            <w:pPr>
              <w:spacing w:after="0" w:line="260"/>
              <w:jc w:val="right"/>
            </w:pPr>
            <w:r>
              <w:rPr>
                <w:rFonts w:ascii="Calibri" w:cs="Calibri" w:eastAsia="Calibri" w:hAnsi="Calibri"/>
                <w:b/>
                <w:bCs/>
                <w:color w:val="000000"/>
                <w:sz w:val="20"/>
                <w:szCs w:val="20"/>
              </w:rPr>
              <w:t xml:space="preserve">vit-scope-v1</w:t>
            </w:r>
          </w:p>
        </w:tc>
        <w:tc>
          <w:tcPr>
            <w:tcW w:type="dxa" w:w="3000"/>
            <w:shd w:fill="EAF1F8" w:color="auto" w:val="clear"/>
            <w:tcMar>
              <w:top w:type="dxa" w:w="80"/>
              <w:left w:type="dxa" w:w="120"/>
              <w:bottom w:type="dxa" w:w="80"/>
              <w:right w:type="dxa" w:w="120"/>
            </w:tcMar>
          </w:tcPr>
          <w:p>
            <w:pPr>
              <w:spacing w:after="0" w:line="260"/>
              <w:jc w:val="right"/>
            </w:pPr>
            <w:r>
              <w:rPr>
                <w:rFonts w:ascii="Calibri" w:cs="Calibri" w:eastAsia="Calibri" w:hAnsi="Calibri"/>
                <w:b/>
                <w:bCs/>
                <w:color w:val="000000"/>
                <w:sz w:val="20"/>
                <w:szCs w:val="20"/>
              </w:rPr>
              <w:t xml:space="preserve">vit-scope-v2</w:t>
            </w:r>
          </w:p>
        </w:tc>
      </w:tr>
      <w:tr>
        <w:trPr>
          <w:tblHeader w:val="false"/>
        </w:trPr>
        <w:tc>
          <w:tcPr>
            <w:tcW w:type="dxa" w:w="33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Threshold chosen on</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Test set (biased)</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Validation set (correct)</w:t>
            </w:r>
          </w:p>
        </w:tc>
      </w:tr>
      <w:tr>
        <w:trPr>
          <w:tblHeader w:val="false"/>
        </w:trPr>
        <w:tc>
          <w:tcPr>
            <w:tcW w:type="dxa" w:w="33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Threshold</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0.70</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0.63</w:t>
            </w:r>
          </w:p>
        </w:tc>
      </w:tr>
      <w:tr>
        <w:trPr>
          <w:tblHeader w:val="false"/>
        </w:trPr>
        <w:tc>
          <w:tcPr>
            <w:tcW w:type="dxa" w:w="33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Precision</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0.977</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0.970</w:t>
            </w:r>
          </w:p>
        </w:tc>
      </w:tr>
      <w:tr>
        <w:trPr>
          <w:tblHeader w:val="false"/>
        </w:trPr>
        <w:tc>
          <w:tcPr>
            <w:tcW w:type="dxa" w:w="33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Recall</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0.916</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0.923</w:t>
            </w:r>
          </w:p>
        </w:tc>
      </w:tr>
      <w:tr>
        <w:trPr>
          <w:tblHeader w:val="false"/>
        </w:trPr>
        <w:tc>
          <w:tcPr>
            <w:tcW w:type="dxa" w:w="33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F1</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0.945</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0.946</w:t>
            </w:r>
          </w:p>
        </w:tc>
      </w:tr>
      <w:tr>
        <w:trPr>
          <w:tblHeader w:val="false"/>
        </w:trPr>
        <w:tc>
          <w:tcPr>
            <w:tcW w:type="dxa" w:w="33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Confusion (293 test images)</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TP 130 · FP 3 · FN 12 · TN 148</w:t>
            </w:r>
          </w:p>
        </w:tc>
        <w:tc>
          <w:tcPr>
            <w:tcW w:type="dxa" w:w="300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TP 131 · FP 4 · FN 11 · TN 147</w:t>
            </w:r>
          </w:p>
        </w:tc>
      </w:tr>
    </w:tbl>
    <w:p>
      <w:pPr>
        <w:spacing w:after="140" w:line="276"/>
      </w:pPr>
      <w:r>
        <w:rPr>
          <w:rFonts w:ascii="Calibri" w:cs="Calibri" w:eastAsia="Calibri" w:hAnsi="Calibri"/>
          <w:color w:val="595959"/>
          <w:sz w:val="20"/>
          <w:szCs w:val="20"/>
        </w:rPr>
        <w:t xml:space="preserve">v2 figures are from ml/artifacts/test_threshold_v2.txt and were re-derived independently from test_scores_backend.csv. Note that ml/README.md currently quotes different v2 numbers (precision 0.939, recall 0.979) — those are the metrics at threshold 0.38, a superseded selection, and need correcting there.</w:t>
      </w:r>
    </w:p>
    <w:p>
      <w:pPr>
        <w:spacing w:after="100" w:line="276"/>
      </w:pPr>
      <w:r>
        <w:rPr>
          <w:rFonts w:ascii="Calibri" w:cs="Calibri" w:eastAsia="Calibri" w:hAnsi="Calibri"/>
          <w:b/>
          <w:bCs/>
          <w:sz w:val="22"/>
          <w:szCs w:val="22"/>
        </w:rPr>
        <w:t xml:space="preserve">How to read this:</w:t>
      </w:r>
    </w:p>
    <w:p>
      <w:pPr>
        <w:pStyle w:val="ListParagraph"/>
        <w:numPr>
          <w:ilvl w:val="0"/>
          <w:numId w:val="2"/>
        </w:numPr>
        <w:spacing w:after="100" w:line="276"/>
      </w:pPr>
      <w:r>
        <w:rPr>
          <w:rFonts w:ascii="Calibri" w:cs="Calibri" w:eastAsia="Calibri" w:hAnsi="Calibri"/>
          <w:b/>
          <w:bCs/>
          <w:sz w:val="22"/>
          <w:szCs w:val="22"/>
        </w:rPr>
        <w:t xml:space="preserve">v2 matches v1 on the test split while being measured honestly. </w:t>
      </w:r>
      <w:r>
        <w:rPr>
          <w:rFonts w:ascii="Calibri" w:cs="Calibri" w:eastAsia="Calibri" w:hAnsi="Calibri"/>
          <w:b w:val="false"/>
          <w:bCs w:val="false"/>
          <w:sz w:val="22"/>
          <w:szCs w:val="22"/>
        </w:rPr>
        <w:t xml:space="preserve">Precision 0.970 against 0.977, recall 0.923 against 0.916, and an identical F1 to three decimal places. The headline metrics barely moved.</w:t>
      </w:r>
    </w:p>
    <w:p>
      <w:pPr>
        <w:pStyle w:val="ListParagraph"/>
        <w:numPr>
          <w:ilvl w:val="0"/>
          <w:numId w:val="2"/>
        </w:numPr>
        <w:spacing w:after="100" w:line="276"/>
      </w:pPr>
      <w:r>
        <w:rPr>
          <w:rFonts w:ascii="Calibri" w:cs="Calibri" w:eastAsia="Calibri" w:hAnsi="Calibri"/>
          <w:b/>
          <w:bCs/>
          <w:sz w:val="22"/>
          <w:szCs w:val="22"/>
        </w:rPr>
        <w:t xml:space="preserve">That is the result, and it is a good one. </w:t>
      </w:r>
      <w:r>
        <w:rPr>
          <w:rFonts w:ascii="Calibri" w:cs="Calibri" w:eastAsia="Calibri" w:hAnsi="Calibri"/>
          <w:b w:val="false"/>
          <w:bCs w:val="false"/>
          <w:sz w:val="22"/>
          <w:szCs w:val="22"/>
        </w:rPr>
        <w:t xml:space="preserve">v1's 0.977 was inflated — its threshold was fitted to the same 293 images the figure was claimed on, so the true value was always lower than printed. v2 gives up 0.007 of precision and, in exchange, every figure becomes an independent estimate that survives scrutiny.</w:t>
      </w:r>
    </w:p>
    <w:p>
      <w:pPr>
        <w:pStyle w:val="ListParagraph"/>
        <w:numPr>
          <w:ilvl w:val="0"/>
          <w:numId w:val="2"/>
        </w:numPr>
        <w:spacing w:after="100" w:line="276"/>
      </w:pPr>
      <w:r>
        <w:rPr>
          <w:rFonts w:ascii="Calibri" w:cs="Calibri" w:eastAsia="Calibri" w:hAnsi="Calibri"/>
          <w:b/>
          <w:bCs/>
          <w:sz w:val="22"/>
          <w:szCs w:val="22"/>
        </w:rPr>
        <w:t xml:space="preserve">The clearest evidence sits on the validation split, where the threshold was chosen. </w:t>
      </w:r>
      <w:r>
        <w:rPr>
          <w:rFonts w:ascii="Calibri" w:cs="Calibri" w:eastAsia="Calibri" w:hAnsi="Calibri"/>
          <w:b w:val="false"/>
          <w:bCs w:val="false"/>
          <w:sz w:val="22"/>
          <w:szCs w:val="22"/>
        </w:rPr>
        <w:t xml:space="preserve">At 0.63, v2 reached precision 0.992 with a single false positive in 149 non-violations, and only 2.00% of invalid three-photograph reports would reach enforcement — against 5.84% for v1.</w:t>
      </w:r>
    </w:p>
    <w:p>
      <w:pPr>
        <w:pStyle w:val="ListParagraph"/>
        <w:numPr>
          <w:ilvl w:val="0"/>
          <w:numId w:val="2"/>
        </w:numPr>
        <w:spacing w:after="100" w:line="276"/>
      </w:pPr>
      <w:r>
        <w:rPr>
          <w:rFonts w:ascii="Calibri" w:cs="Calibri" w:eastAsia="Calibri" w:hAnsi="Calibri"/>
          <w:b/>
          <w:bCs/>
          <w:sz w:val="22"/>
          <w:szCs w:val="22"/>
        </w:rPr>
        <w:t xml:space="preserve">The gain from v2 is method and robustness, not a bigger number. </w:t>
      </w:r>
      <w:r>
        <w:rPr>
          <w:rFonts w:ascii="Calibri" w:cs="Calibri" w:eastAsia="Calibri" w:hAnsi="Calibri"/>
          <w:b w:val="false"/>
          <w:bCs w:val="false"/>
          <w:sz w:val="22"/>
          <w:szCs w:val="22"/>
        </w:rPr>
        <w:t xml:space="preserve">Stronger augmentation, a checkpoint selected on PR-AUC rather than loss, and calibrated-by-design targets should hold up better on real phone photographs than this test set can show.</w:t>
      </w:r>
    </w:p>
    <w:p>
      <w:pPr>
        <w:spacing w:after="100" w:line="276"/>
      </w:pPr>
      <w:r>
        <w:rPr>
          <w:rFonts w:ascii="Calibri" w:cs="Calibri" w:eastAsia="Calibri" w:hAnsi="Calibri"/>
          <w:b/>
          <w:bCs/>
          <w:sz w:val="22"/>
          <w:szCs w:val="22"/>
        </w:rPr>
        <w:t xml:space="preserve">Record-keeping gaps to close before the write-up:</w:t>
      </w:r>
    </w:p>
    <w:p>
      <w:pPr>
        <w:pStyle w:val="ListParagraph"/>
        <w:numPr>
          <w:ilvl w:val="0"/>
          <w:numId w:val="2"/>
        </w:numPr>
        <w:spacing w:after="100" w:line="276"/>
      </w:pPr>
      <w:r>
        <w:rPr>
          <w:rFonts w:ascii="Calibri" w:cs="Calibri" w:eastAsia="Calibri" w:hAnsi="Calibri"/>
          <w:b/>
          <w:bCs/>
          <w:sz w:val="22"/>
          <w:szCs w:val="22"/>
        </w:rPr>
        <w:t xml:space="preserve">ml/README.md quotes the wrong v2 figures. </w:t>
      </w:r>
      <w:r>
        <w:rPr>
          <w:rFonts w:ascii="Calibri" w:cs="Calibri" w:eastAsia="Calibri" w:hAnsi="Calibri"/>
          <w:b w:val="false"/>
          <w:bCs w:val="false"/>
          <w:sz w:val="22"/>
          <w:szCs w:val="22"/>
        </w:rPr>
        <w:t xml:space="preserve">Its table gives precision 0.939 and recall 0.979, which are the metrics at threshold 0.38 — an earlier selection, superseded when the selection criterion changed to the report-level error rate. The correct figures at the frozen 0.63 are 0.970 and 0.923. The README row needs replacing, since it is the source Chapter 5 will be written from.</w:t>
      </w:r>
    </w:p>
    <w:p>
      <w:pPr>
        <w:pStyle w:val="ListParagraph"/>
        <w:numPr>
          <w:ilvl w:val="0"/>
          <w:numId w:val="2"/>
        </w:numPr>
        <w:spacing w:after="100" w:line="276"/>
      </w:pPr>
      <w:r>
        <w:rPr>
          <w:rFonts w:ascii="Calibri" w:cs="Calibri" w:eastAsia="Calibri" w:hAnsi="Calibri"/>
          <w:b/>
          <w:bCs/>
          <w:sz w:val="22"/>
          <w:szCs w:val="22"/>
        </w:rPr>
        <w:t xml:space="preserve">The PR-AUC of 0.959 in that same table is wrong too. </w:t>
      </w:r>
      <w:r>
        <w:rPr>
          <w:rFonts w:ascii="Calibri" w:cs="Calibri" w:eastAsia="Calibri" w:hAnsi="Calibri"/>
          <w:b w:val="false"/>
          <w:bCs w:val="false"/>
          <w:sz w:val="22"/>
          <w:szCs w:val="22"/>
        </w:rPr>
        <w:t xml:space="preserve">It is the F1 at threshold 0.38, carried into the wrong column alongside that row's precision and recall. The measured PR-AUC is 0.988 ± 0.001 (section 5). Nothing in this project has produced a PR-AUC of 0.959.</w:t>
      </w:r>
    </w:p>
    <w:p>
      <w:pPr>
        <w:pStyle w:val="ListParagraph"/>
        <w:numPr>
          <w:ilvl w:val="0"/>
          <w:numId w:val="2"/>
        </w:numPr>
        <w:spacing w:after="100" w:line="276"/>
      </w:pPr>
      <w:r>
        <w:rPr>
          <w:rFonts w:ascii="Calibri" w:cs="Calibri" w:eastAsia="Calibri" w:hAnsi="Calibri"/>
          <w:b/>
          <w:bCs/>
          <w:sz w:val="22"/>
          <w:szCs w:val="22"/>
        </w:rPr>
        <w:t xml:space="preserve">The threshold 0.63 appears in no tracked file. </w:t>
      </w:r>
      <w:r>
        <w:rPr>
          <w:rFonts w:ascii="Calibri" w:cs="Calibri" w:eastAsia="Calibri" w:hAnsi="Calibri"/>
          <w:b w:val="false"/>
          <w:bCs w:val="false"/>
          <w:sz w:val="22"/>
          <w:szCs w:val="22"/>
        </w:rPr>
        <w:t xml:space="preserve">It is set correctly in the live backend/.env, but that file is gitignored. In the repository it survives only in two commit messages, while backend/.env.example still ships v1 at 0.70.</w:t>
      </w:r>
    </w:p>
    <w:p>
      <w:pPr>
        <w:pStyle w:val="Heading1"/>
        <w:spacing w:after="160" w:before="320"/>
      </w:pPr>
      <w:r>
        <w:rPr>
          <w:rFonts w:ascii="Calibri" w:cs="Calibri" w:eastAsia="Calibri" w:hAnsi="Calibri"/>
          <w:b/>
          <w:bCs/>
          <w:color w:val="1F4E79"/>
          <w:sz w:val="28"/>
          <w:szCs w:val="28"/>
        </w:rPr>
        <w:t xml:space="preserve">5. How much of this is luck?</w:t>
      </w:r>
    </w:p>
    <w:p>
      <w:pPr>
        <w:spacing w:after="140" w:line="276"/>
      </w:pPr>
      <w:r>
        <w:rPr>
          <w:rFonts w:ascii="Calibri" w:cs="Calibri" w:eastAsia="Calibri" w:hAnsi="Calibri"/>
          <w:sz w:val="22"/>
          <w:szCs w:val="22"/>
        </w:rPr>
        <w:t xml:space="preserve">Every figure in section 4 comes from one training run, so it carries that run's luck — the classification head starts from random values, the images arrive in a random order, and the augmentation crops at random. The same recipe was therefore trained three times, changing nothing but the random seed. Each run had its threshold selected on its own validation split and reported on test, so the spread reflects the whole method rather than just the model.</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560"/>
        <w:gridCol w:w="1760"/>
        <w:gridCol w:w="1560"/>
        <w:gridCol w:w="1520"/>
        <w:gridCol w:w="1480"/>
        <w:gridCol w:w="1480"/>
      </w:tblGrid>
      <w:tr>
        <w:trPr>
          <w:tblHeader/>
        </w:trPr>
        <w:tc>
          <w:tcPr>
            <w:tcW w:type="dxa" w:w="1560"/>
            <w:shd w:fill="EAF1F8" w:color="auto" w:val="clear"/>
            <w:tcMar>
              <w:top w:type="dxa" w:w="80"/>
              <w:left w:type="dxa" w:w="120"/>
              <w:bottom w:type="dxa" w:w="80"/>
              <w:right w:type="dxa" w:w="120"/>
            </w:tcMar>
          </w:tcPr>
          <w:p>
            <w:pPr>
              <w:spacing w:after="0" w:line="260"/>
            </w:pPr>
            <w:r>
              <w:rPr>
                <w:rFonts w:ascii="Calibri" w:cs="Calibri" w:eastAsia="Calibri" w:hAnsi="Calibri"/>
                <w:b/>
                <w:bCs/>
                <w:color w:val="000000"/>
                <w:sz w:val="20"/>
                <w:szCs w:val="20"/>
              </w:rPr>
              <w:t xml:space="preserve">Seed</w:t>
            </w:r>
          </w:p>
        </w:tc>
        <w:tc>
          <w:tcPr>
            <w:tcW w:type="dxa" w:w="1760"/>
            <w:shd w:fill="EAF1F8" w:color="auto" w:val="clear"/>
            <w:tcMar>
              <w:top w:type="dxa" w:w="80"/>
              <w:left w:type="dxa" w:w="120"/>
              <w:bottom w:type="dxa" w:w="80"/>
              <w:right w:type="dxa" w:w="120"/>
            </w:tcMar>
          </w:tcPr>
          <w:p>
            <w:pPr>
              <w:spacing w:after="0" w:line="260"/>
              <w:jc w:val="right"/>
            </w:pPr>
            <w:r>
              <w:rPr>
                <w:rFonts w:ascii="Calibri" w:cs="Calibri" w:eastAsia="Calibri" w:hAnsi="Calibri"/>
                <w:b/>
                <w:bCs/>
                <w:color w:val="000000"/>
                <w:sz w:val="20"/>
                <w:szCs w:val="20"/>
              </w:rPr>
              <w:t xml:space="preserve">Threshold</w:t>
            </w:r>
          </w:p>
        </w:tc>
        <w:tc>
          <w:tcPr>
            <w:tcW w:type="dxa" w:w="1560"/>
            <w:shd w:fill="EAF1F8" w:color="auto" w:val="clear"/>
            <w:tcMar>
              <w:top w:type="dxa" w:w="80"/>
              <w:left w:type="dxa" w:w="120"/>
              <w:bottom w:type="dxa" w:w="80"/>
              <w:right w:type="dxa" w:w="120"/>
            </w:tcMar>
          </w:tcPr>
          <w:p>
            <w:pPr>
              <w:spacing w:after="0" w:line="260"/>
              <w:jc w:val="right"/>
            </w:pPr>
            <w:r>
              <w:rPr>
                <w:rFonts w:ascii="Calibri" w:cs="Calibri" w:eastAsia="Calibri" w:hAnsi="Calibri"/>
                <w:b/>
                <w:bCs/>
                <w:color w:val="000000"/>
                <w:sz w:val="20"/>
                <w:szCs w:val="20"/>
              </w:rPr>
              <w:t xml:space="preserve">Precision</w:t>
            </w:r>
          </w:p>
        </w:tc>
        <w:tc>
          <w:tcPr>
            <w:tcW w:type="dxa" w:w="1520"/>
            <w:shd w:fill="EAF1F8" w:color="auto" w:val="clear"/>
            <w:tcMar>
              <w:top w:type="dxa" w:w="80"/>
              <w:left w:type="dxa" w:w="120"/>
              <w:bottom w:type="dxa" w:w="80"/>
              <w:right w:type="dxa" w:w="120"/>
            </w:tcMar>
          </w:tcPr>
          <w:p>
            <w:pPr>
              <w:spacing w:after="0" w:line="260"/>
              <w:jc w:val="right"/>
            </w:pPr>
            <w:r>
              <w:rPr>
                <w:rFonts w:ascii="Calibri" w:cs="Calibri" w:eastAsia="Calibri" w:hAnsi="Calibri"/>
                <w:b/>
                <w:bCs/>
                <w:color w:val="000000"/>
                <w:sz w:val="20"/>
                <w:szCs w:val="20"/>
              </w:rPr>
              <w:t xml:space="preserve">Recall</w:t>
            </w:r>
          </w:p>
        </w:tc>
        <w:tc>
          <w:tcPr>
            <w:tcW w:type="dxa" w:w="1480"/>
            <w:shd w:fill="EAF1F8" w:color="auto" w:val="clear"/>
            <w:tcMar>
              <w:top w:type="dxa" w:w="80"/>
              <w:left w:type="dxa" w:w="120"/>
              <w:bottom w:type="dxa" w:w="80"/>
              <w:right w:type="dxa" w:w="120"/>
            </w:tcMar>
          </w:tcPr>
          <w:p>
            <w:pPr>
              <w:spacing w:after="0" w:line="260"/>
              <w:jc w:val="right"/>
            </w:pPr>
            <w:r>
              <w:rPr>
                <w:rFonts w:ascii="Calibri" w:cs="Calibri" w:eastAsia="Calibri" w:hAnsi="Calibri"/>
                <w:b/>
                <w:bCs/>
                <w:color w:val="000000"/>
                <w:sz w:val="20"/>
                <w:szCs w:val="20"/>
              </w:rPr>
              <w:t xml:space="preserve">F1</w:t>
            </w:r>
          </w:p>
        </w:tc>
        <w:tc>
          <w:tcPr>
            <w:tcW w:type="dxa" w:w="1480"/>
            <w:shd w:fill="EAF1F8" w:color="auto" w:val="clear"/>
            <w:tcMar>
              <w:top w:type="dxa" w:w="80"/>
              <w:left w:type="dxa" w:w="120"/>
              <w:bottom w:type="dxa" w:w="80"/>
              <w:right w:type="dxa" w:w="120"/>
            </w:tcMar>
          </w:tcPr>
          <w:p>
            <w:pPr>
              <w:spacing w:after="0" w:line="260"/>
              <w:jc w:val="right"/>
            </w:pPr>
            <w:r>
              <w:rPr>
                <w:rFonts w:ascii="Calibri" w:cs="Calibri" w:eastAsia="Calibri" w:hAnsi="Calibri"/>
                <w:b/>
                <w:bCs/>
                <w:color w:val="000000"/>
                <w:sz w:val="20"/>
                <w:szCs w:val="20"/>
              </w:rPr>
              <w:t xml:space="preserve">PR-AUC</w:t>
            </w:r>
          </w:p>
        </w:tc>
      </w:tr>
      <w:tr>
        <w:trPr>
          <w:tblHeader w:val="false"/>
        </w:trPr>
        <w:tc>
          <w:tcPr>
            <w:tcW w:type="dxa" w:w="15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1</w:t>
            </w:r>
          </w:p>
        </w:tc>
        <w:tc>
          <w:tcPr>
            <w:tcW w:type="dxa" w:w="176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0.61</w:t>
            </w:r>
          </w:p>
        </w:tc>
        <w:tc>
          <w:tcPr>
            <w:tcW w:type="dxa" w:w="156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0.970</w:t>
            </w:r>
          </w:p>
        </w:tc>
        <w:tc>
          <w:tcPr>
            <w:tcW w:type="dxa" w:w="152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0.908</w:t>
            </w:r>
          </w:p>
        </w:tc>
        <w:tc>
          <w:tcPr>
            <w:tcW w:type="dxa" w:w="148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0.938</w:t>
            </w:r>
          </w:p>
        </w:tc>
        <w:tc>
          <w:tcPr>
            <w:tcW w:type="dxa" w:w="148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0.988</w:t>
            </w:r>
          </w:p>
        </w:tc>
      </w:tr>
      <w:tr>
        <w:trPr>
          <w:tblHeader w:val="false"/>
        </w:trPr>
        <w:tc>
          <w:tcPr>
            <w:tcW w:type="dxa" w:w="15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2</w:t>
            </w:r>
          </w:p>
        </w:tc>
        <w:tc>
          <w:tcPr>
            <w:tcW w:type="dxa" w:w="176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0.69</w:t>
            </w:r>
          </w:p>
        </w:tc>
        <w:tc>
          <w:tcPr>
            <w:tcW w:type="dxa" w:w="156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0.984</w:t>
            </w:r>
          </w:p>
        </w:tc>
        <w:tc>
          <w:tcPr>
            <w:tcW w:type="dxa" w:w="152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0.887</w:t>
            </w:r>
          </w:p>
        </w:tc>
        <w:tc>
          <w:tcPr>
            <w:tcW w:type="dxa" w:w="148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0.933</w:t>
            </w:r>
          </w:p>
        </w:tc>
        <w:tc>
          <w:tcPr>
            <w:tcW w:type="dxa" w:w="148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0.988</w:t>
            </w:r>
          </w:p>
        </w:tc>
      </w:tr>
      <w:tr>
        <w:trPr>
          <w:tblHeader w:val="false"/>
        </w:trPr>
        <w:tc>
          <w:tcPr>
            <w:tcW w:type="dxa" w:w="15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3</w:t>
            </w:r>
          </w:p>
        </w:tc>
        <w:tc>
          <w:tcPr>
            <w:tcW w:type="dxa" w:w="176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0.62</w:t>
            </w:r>
          </w:p>
        </w:tc>
        <w:tc>
          <w:tcPr>
            <w:tcW w:type="dxa" w:w="156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0.969</w:t>
            </w:r>
          </w:p>
        </w:tc>
        <w:tc>
          <w:tcPr>
            <w:tcW w:type="dxa" w:w="152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0.894</w:t>
            </w:r>
          </w:p>
        </w:tc>
        <w:tc>
          <w:tcPr>
            <w:tcW w:type="dxa" w:w="148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0.930</w:t>
            </w:r>
          </w:p>
        </w:tc>
        <w:tc>
          <w:tcPr>
            <w:tcW w:type="dxa" w:w="148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0.987</w:t>
            </w:r>
          </w:p>
        </w:tc>
      </w:tr>
      <w:tr>
        <w:trPr>
          <w:tblHeader w:val="false"/>
        </w:trPr>
        <w:tc>
          <w:tcPr>
            <w:tcW w:type="dxa" w:w="1560"/>
            <w:tcMar>
              <w:top w:type="dxa" w:w="80"/>
              <w:left w:type="dxa" w:w="120"/>
              <w:bottom w:type="dxa" w:w="80"/>
              <w:right w:type="dxa" w:w="120"/>
            </w:tcMar>
          </w:tcPr>
          <w:p>
            <w:pPr>
              <w:spacing w:after="0" w:line="260"/>
            </w:pPr>
            <w:r>
              <w:rPr>
                <w:rFonts w:ascii="Calibri" w:cs="Calibri" w:eastAsia="Calibri" w:hAnsi="Calibri"/>
                <w:b w:val="false"/>
                <w:bCs w:val="false"/>
                <w:color w:val="222222"/>
                <w:sz w:val="20"/>
                <w:szCs w:val="20"/>
              </w:rPr>
              <w:t xml:space="preserve">Mean ± SD</w:t>
            </w:r>
          </w:p>
        </w:tc>
        <w:tc>
          <w:tcPr>
            <w:tcW w:type="dxa" w:w="176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0.640 ± 0.044</w:t>
            </w:r>
          </w:p>
        </w:tc>
        <w:tc>
          <w:tcPr>
            <w:tcW w:type="dxa" w:w="156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0.975 ± 0.008</w:t>
            </w:r>
          </w:p>
        </w:tc>
        <w:tc>
          <w:tcPr>
            <w:tcW w:type="dxa" w:w="152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0.897 ± 0.011</w:t>
            </w:r>
          </w:p>
        </w:tc>
        <w:tc>
          <w:tcPr>
            <w:tcW w:type="dxa" w:w="148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0.934 ± 0.004</w:t>
            </w:r>
          </w:p>
        </w:tc>
        <w:tc>
          <w:tcPr>
            <w:tcW w:type="dxa" w:w="1480"/>
            <w:tcMar>
              <w:top w:type="dxa" w:w="80"/>
              <w:left w:type="dxa" w:w="120"/>
              <w:bottom w:type="dxa" w:w="80"/>
              <w:right w:type="dxa" w:w="120"/>
            </w:tcMar>
          </w:tcPr>
          <w:p>
            <w:pPr>
              <w:spacing w:after="0" w:line="260"/>
              <w:jc w:val="right"/>
            </w:pPr>
            <w:r>
              <w:rPr>
                <w:rFonts w:ascii="Calibri" w:cs="Calibri" w:eastAsia="Calibri" w:hAnsi="Calibri"/>
                <w:b w:val="false"/>
                <w:bCs w:val="false"/>
                <w:color w:val="222222"/>
                <w:sz w:val="20"/>
                <w:szCs w:val="20"/>
              </w:rPr>
              <w:t xml:space="preserve">0.988 ± 0.001</w:t>
            </w:r>
          </w:p>
        </w:tc>
      </w:tr>
    </w:tbl>
    <w:p>
      <w:pPr>
        <w:spacing w:after="100" w:line="276"/>
      </w:pPr>
      <w:r>
        <w:rPr>
          <w:rFonts w:ascii="Calibri" w:cs="Calibri" w:eastAsia="Calibri" w:hAnsi="Calibri"/>
          <w:sz w:val="22"/>
          <w:szCs w:val="22"/>
        </w:rPr>
        <w:t xml:space="preserve">This is the sentence worth using, because it survives the obvious follow-up question:</w:t>
      </w:r>
    </w:p>
    <w:p>
      <w:pPr>
        <w:spacing w:after="160" w:line="276"/>
      </w:pPr>
      <w:r>
        <w:rPr>
          <w:rFonts w:ascii="Calibri" w:cs="Calibri" w:eastAsia="Calibri" w:hAnsi="Calibri"/>
          <w:i/>
          <w:iCs/>
          <w:sz w:val="22"/>
          <w:szCs w:val="22"/>
        </w:rPr>
        <w:t xml:space="preserve">"Across 3 training runs differing only in random seed, the classifier reached precision 0.975 ± 0.008 and recall 0.897 ± 0.011 on the held-out test split, each run using the threshold selected on its own validation split."</w:t>
      </w:r>
    </w:p>
    <w:p>
      <w:pPr>
        <w:spacing w:after="100" w:line="276"/>
      </w:pPr>
      <w:r>
        <w:rPr>
          <w:rFonts w:ascii="Calibri" w:cs="Calibri" w:eastAsia="Calibri" w:hAnsi="Calibri"/>
          <w:b/>
          <w:bCs/>
          <w:sz w:val="22"/>
          <w:szCs w:val="22"/>
        </w:rPr>
        <w:t xml:space="preserve">Two things to be upfront about:</w:t>
      </w:r>
    </w:p>
    <w:p>
      <w:pPr>
        <w:pStyle w:val="ListParagraph"/>
        <w:numPr>
          <w:ilvl w:val="0"/>
          <w:numId w:val="2"/>
        </w:numPr>
        <w:spacing w:after="100" w:line="276"/>
      </w:pPr>
      <w:r>
        <w:rPr>
          <w:rFonts w:ascii="Calibri" w:cs="Calibri" w:eastAsia="Calibri" w:hAnsi="Calibri"/>
          <w:b/>
          <w:bCs/>
          <w:sz w:val="22"/>
          <w:szCs w:val="22"/>
        </w:rPr>
        <w:t xml:space="preserve">The deployed model drew better-than-typical recall. </w:t>
      </w:r>
      <w:r>
        <w:rPr>
          <w:rFonts w:ascii="Calibri" w:cs="Calibri" w:eastAsia="Calibri" w:hAnsi="Calibri"/>
          <w:b w:val="false"/>
          <w:bCs w:val="false"/>
          <w:sz w:val="22"/>
          <w:szCs w:val="22"/>
        </w:rPr>
        <w:t xml:space="preserve">Its 0.923 sits 2.4 standard deviations above the three-seed mean of 0.897 — and 0.897 is below v1's 0.916. So quoting the spread is less flattering on recall than quoting the single run, and it is the more defensible number. Precision (0.970 against 0.975 ± 0.008) and the selected threshold (0.63 against 0.640 ± 0.044) are both unremarkable, which is the reassuring part: the operating point is not an artefact of one lucky run.</w:t>
      </w:r>
    </w:p>
    <w:p>
      <w:pPr>
        <w:pStyle w:val="ListParagraph"/>
        <w:numPr>
          <w:ilvl w:val="0"/>
          <w:numId w:val="2"/>
        </w:numPr>
        <w:spacing w:after="100" w:line="276"/>
      </w:pPr>
      <w:r>
        <w:rPr>
          <w:rFonts w:ascii="Calibri" w:cs="Calibri" w:eastAsia="Calibri" w:hAnsi="Calibri"/>
          <w:b/>
          <w:bCs/>
          <w:sz w:val="22"/>
          <w:szCs w:val="22"/>
        </w:rPr>
        <w:t xml:space="preserve">Seeds are not the larger uncertainty. </w:t>
      </w:r>
      <w:r>
        <w:rPr>
          <w:rFonts w:ascii="Calibri" w:cs="Calibri" w:eastAsia="Calibri" w:hAnsi="Calibri"/>
          <w:b w:val="false"/>
          <w:bCs w:val="false"/>
          <w:sz w:val="22"/>
          <w:szCs w:val="22"/>
        </w:rPr>
        <w:t xml:space="preserve">Seed-to-seed variation moves precision by ±0.008. The 95% confidence interval from having only 151 non-smoking test images is ±0.032 — about four times larger. More training runs cannot narrow that; only more labelled test data can. Both should be stated, because quoting only the seed spread answers half the question.</w:t>
      </w:r>
    </w:p>
    <w:p>
      <w:pPr>
        <w:pStyle w:val="Heading1"/>
        <w:spacing w:after="160" w:before="320"/>
      </w:pPr>
      <w:r>
        <w:rPr>
          <w:rFonts w:ascii="Calibri" w:cs="Calibri" w:eastAsia="Calibri" w:hAnsi="Calibri"/>
          <w:b/>
          <w:bCs/>
          <w:color w:val="1F4E79"/>
          <w:sz w:val="28"/>
          <w:szCs w:val="28"/>
        </w:rPr>
        <w:t xml:space="preserve">6. Why precision is the metric that drives the threshold</w:t>
      </w:r>
    </w:p>
    <w:p>
      <w:pPr>
        <w:spacing w:after="100" w:line="276"/>
      </w:pPr>
      <w:r>
        <w:rPr>
          <w:rFonts w:ascii="Calibri" w:cs="Calibri" w:eastAsia="Calibri" w:hAnsi="Calibri"/>
          <w:sz w:val="22"/>
          <w:szCs w:val="22"/>
        </w:rPr>
        <w:t xml:space="preserve">The two kinds of error do not cost the same, so the threshold is not chosen to maximise accuracy or F1:</w:t>
      </w:r>
    </w:p>
    <w:p>
      <w:pPr>
        <w:pStyle w:val="ListParagraph"/>
        <w:numPr>
          <w:ilvl w:val="0"/>
          <w:numId w:val="2"/>
        </w:numPr>
        <w:spacing w:after="100" w:line="276"/>
      </w:pPr>
      <w:r>
        <w:rPr>
          <w:rFonts w:ascii="Calibri" w:cs="Calibri" w:eastAsia="Calibri" w:hAnsi="Calibri"/>
          <w:b/>
          <w:bCs/>
          <w:sz w:val="22"/>
          <w:szCs w:val="22"/>
        </w:rPr>
        <w:t xml:space="preserve">A false positive </w:t>
      </w:r>
      <w:r>
        <w:rPr>
          <w:rFonts w:ascii="Calibri" w:cs="Calibri" w:eastAsia="Calibri" w:hAnsi="Calibri"/>
          <w:b w:val="false"/>
          <w:bCs w:val="false"/>
          <w:sz w:val="22"/>
          <w:szCs w:val="22"/>
        </w:rPr>
        <w:t xml:space="preserve">forwards an invalid report to enforcement. Administrators are read-only and the AI decision is final, so nothing downstream catches it.</w:t>
      </w:r>
    </w:p>
    <w:p>
      <w:pPr>
        <w:pStyle w:val="ListParagraph"/>
        <w:numPr>
          <w:ilvl w:val="0"/>
          <w:numId w:val="2"/>
        </w:numPr>
        <w:spacing w:after="100" w:line="276"/>
      </w:pPr>
      <w:r>
        <w:rPr>
          <w:rFonts w:ascii="Calibri" w:cs="Calibri" w:eastAsia="Calibri" w:hAnsi="Calibri"/>
          <w:b/>
          <w:bCs/>
          <w:sz w:val="22"/>
          <w:szCs w:val="22"/>
        </w:rPr>
        <w:t xml:space="preserve">A false negative </w:t>
      </w:r>
      <w:r>
        <w:rPr>
          <w:rFonts w:ascii="Calibri" w:cs="Calibri" w:eastAsia="Calibri" w:hAnsi="Calibri"/>
          <w:b w:val="false"/>
          <w:bCs w:val="false"/>
          <w:sz w:val="22"/>
          <w:szCs w:val="22"/>
        </w:rPr>
        <w:t xml:space="preserve">asks the reporter to take another photograph. Annoying, but recoverable — they are standing there.</w:t>
      </w:r>
    </w:p>
    <w:p>
      <w:pPr>
        <w:spacing w:after="140" w:line="276"/>
      </w:pPr>
      <w:r>
        <w:rPr>
          <w:rFonts w:ascii="Calibri" w:cs="Calibri" w:eastAsia="Calibri" w:hAnsi="Calibri"/>
          <w:sz w:val="22"/>
          <w:szCs w:val="22"/>
        </w:rPr>
        <w:t xml:space="preserve">There is a second effect that per-photo metrics hide. A report passes when any one of up to three photographs clears the threshold, so a false positive gets three independent chances while a false negative needs all three photographs to fail. The selection script therefore reports the report-level error rate next to the per-photo one, and holds precision to a high target before maximising recall.</w:t>
      </w:r>
    </w:p>
    <w:p>
      <w:pPr>
        <w:pStyle w:val="Heading1"/>
        <w:spacing w:after="160" w:before="320"/>
      </w:pPr>
      <w:r>
        <w:rPr>
          <w:rFonts w:ascii="Calibri" w:cs="Calibri" w:eastAsia="Calibri" w:hAnsi="Calibri"/>
          <w:b/>
          <w:bCs/>
          <w:color w:val="1F4E79"/>
          <w:sz w:val="28"/>
          <w:szCs w:val="28"/>
        </w:rPr>
        <w:t xml:space="preserve">7. What is still outstanding</w:t>
      </w:r>
    </w:p>
    <w:p>
      <w:pPr>
        <w:spacing w:after="100" w:line="276"/>
      </w:pPr>
      <w:r>
        <w:rPr>
          <w:rFonts w:ascii="Calibri" w:cs="Calibri" w:eastAsia="Calibri" w:hAnsi="Calibri"/>
          <w:sz w:val="22"/>
          <w:szCs w:val="22"/>
        </w:rPr>
        <w:t xml:space="preserve">Stated plainly, so the limitations are on the record:</w:t>
      </w:r>
    </w:p>
    <w:p>
      <w:pPr>
        <w:pStyle w:val="ListParagraph"/>
        <w:numPr>
          <w:ilvl w:val="0"/>
          <w:numId w:val="2"/>
        </w:numPr>
        <w:spacing w:after="100" w:line="276"/>
      </w:pPr>
      <w:r>
        <w:rPr>
          <w:rFonts w:ascii="Calibri" w:cs="Calibri" w:eastAsia="Calibri" w:hAnsi="Calibri"/>
          <w:b/>
          <w:bCs/>
          <w:sz w:val="22"/>
          <w:szCs w:val="22"/>
        </w:rPr>
        <w:t xml:space="preserve">v2 is deployed, but only on this machine. </w:t>
      </w:r>
      <w:r>
        <w:rPr>
          <w:rFonts w:ascii="Calibri" w:cs="Calibri" w:eastAsia="Calibri" w:hAnsi="Calibri"/>
          <w:b w:val="false"/>
          <w:bCs w:val="false"/>
          <w:sz w:val="22"/>
          <w:szCs w:val="22"/>
        </w:rPr>
        <w:t xml:space="preserve">The live backend/.env serves vit-scope-v2 at 0.63. That file is gitignored, so a fresh checkout copies backend/.env.example instead — which still specifies vit-scope-v1 at 0.70 and would silently serve the old model. The template needs updating to match.</w:t>
      </w:r>
    </w:p>
    <w:p>
      <w:pPr>
        <w:pStyle w:val="ListParagraph"/>
        <w:numPr>
          <w:ilvl w:val="0"/>
          <w:numId w:val="2"/>
        </w:numPr>
        <w:spacing w:after="100" w:line="276"/>
      </w:pPr>
      <w:r>
        <w:rPr>
          <w:rFonts w:ascii="Calibri" w:cs="Calibri" w:eastAsia="Calibri" w:hAnsi="Calibri"/>
          <w:b/>
          <w:bCs/>
          <w:sz w:val="22"/>
          <w:szCs w:val="22"/>
        </w:rPr>
        <w:t xml:space="preserve">Mixup and CutMix are still missing. </w:t>
      </w:r>
      <w:r>
        <w:rPr>
          <w:rFonts w:ascii="Calibri" w:cs="Calibri" w:eastAsia="Calibri" w:hAnsi="Calibri"/>
          <w:b w:val="false"/>
          <w:bCs w:val="false"/>
          <w:sz w:val="22"/>
          <w:szCs w:val="22"/>
        </w:rPr>
        <w:t xml:space="preserve">They are the remaining half of the DeiT augmentation recipe, and were deliberately left out because they produce soft labels that interact with the label smoothing already in place. Their effect is worth measuring on its own row rather than bundled in with everything else.</w:t>
      </w:r>
    </w:p>
    <w:p>
      <w:pPr>
        <w:pStyle w:val="ListParagraph"/>
        <w:numPr>
          <w:ilvl w:val="0"/>
          <w:numId w:val="2"/>
        </w:numPr>
        <w:spacing w:after="100" w:line="276"/>
      </w:pPr>
      <w:r>
        <w:rPr>
          <w:rFonts w:ascii="Calibri" w:cs="Calibri" w:eastAsia="Calibri" w:hAnsi="Calibri"/>
          <w:b/>
          <w:bCs/>
          <w:sz w:val="22"/>
          <w:szCs w:val="22"/>
        </w:rPr>
        <w:t xml:space="preserve">The test set is small. </w:t>
      </w:r>
      <w:r>
        <w:rPr>
          <w:rFonts w:ascii="Calibri" w:cs="Calibri" w:eastAsia="Calibri" w:hAnsi="Calibri"/>
          <w:b w:val="false"/>
          <w:bCs w:val="false"/>
          <w:sz w:val="22"/>
          <w:szCs w:val="22"/>
        </w:rPr>
        <w:t xml:space="preserve">With 151 non-smoking test images, the 95% confidence interval on precision is about ±0.03 regardless of seed. More seeds will not narrow that — only more labelled test data will.</w:t>
      </w:r>
    </w:p>
    <w:p>
      <w:pPr>
        <w:pStyle w:val="ListParagraph"/>
        <w:numPr>
          <w:ilvl w:val="0"/>
          <w:numId w:val="2"/>
        </w:numPr>
        <w:spacing w:after="100" w:line="276"/>
      </w:pPr>
      <w:r>
        <w:rPr>
          <w:rFonts w:ascii="Calibri" w:cs="Calibri" w:eastAsia="Calibri" w:hAnsi="Calibri"/>
          <w:b/>
          <w:bCs/>
          <w:sz w:val="22"/>
          <w:szCs w:val="22"/>
        </w:rPr>
        <w:t xml:space="preserve">Domain gap remains. </w:t>
      </w:r>
      <w:r>
        <w:rPr>
          <w:rFonts w:ascii="Calibri" w:cs="Calibri" w:eastAsia="Calibri" w:hAnsi="Calibri"/>
          <w:b w:val="false"/>
          <w:bCs w:val="false"/>
          <w:sz w:val="22"/>
          <w:szCs w:val="22"/>
        </w:rPr>
        <w:t xml:space="preserve">Training images are web photographs, not phone photos taken across a Malaysian food court. The augmentation rehearses that gap but does not remove it; measured accuracy is an upper bound on field performance.</w:t>
      </w:r>
    </w:p>
    <w:p>
      <w:pPr>
        <w:pStyle w:val="ListParagraph"/>
        <w:numPr>
          <w:ilvl w:val="0"/>
          <w:numId w:val="2"/>
        </w:numPr>
        <w:spacing w:after="100" w:line="276"/>
      </w:pPr>
      <w:r>
        <w:rPr>
          <w:rFonts w:ascii="Calibri" w:cs="Calibri" w:eastAsia="Calibri" w:hAnsi="Calibri"/>
          <w:b/>
          <w:bCs/>
          <w:sz w:val="22"/>
          <w:szCs w:val="22"/>
        </w:rPr>
        <w:t xml:space="preserve">Planned next: </w:t>
      </w:r>
      <w:r>
        <w:rPr>
          <w:rFonts w:ascii="Calibri" w:cs="Calibri" w:eastAsia="Calibri" w:hAnsi="Calibri"/>
          <w:b w:val="false"/>
          <w:bCs w:val="false"/>
          <w:sz w:val="22"/>
          <w:szCs w:val="22"/>
        </w:rPr>
        <w:t xml:space="preserve">Mixup and CutMix (the remaining half of the DeiT recipe), temperature scaling to calibrate the confidence scores shown on the dashboard, test-time augmentation, and evaluating a “2 of 3 photographs must pass” report rule.</w:t>
      </w:r>
    </w:p>
    <w:p>
      <w:pPr>
        <w:pBdr>
          <w:bottom w:val="single" w:color="D0D7DE" w:sz="6" w:space="1"/>
        </w:pBdr>
        <w:spacing w:after="160" w:before="60"/>
      </w:pPr>
    </w:p>
    <w:p>
      <w:pPr>
        <w:spacing w:after="140" w:line="276"/>
      </w:pPr>
      <w:r>
        <w:rPr>
          <w:rFonts w:ascii="Calibri" w:cs="Calibri" w:eastAsia="Calibri" w:hAnsi="Calibri"/>
          <w:i/>
          <w:iCs/>
          <w:color w:val="595959"/>
          <w:sz w:val="22"/>
          <w:szCs w:val="22"/>
        </w:rPr>
        <w:t xml:space="preserve">Headline for the discussion: the improvement from v1 to v2 is about method, not about a bigger number. Precision moved by 0.007 and recall by 0.007 — but v1's figures were fitted to the images they were claimed on, and v2's are not. The same performance, now defensible, is the result the supervisor's feedback was asking for.</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SCOPE — Classifier improvement from v1 to v2</dc:title>
  <dc:creator>SCOPE FYP</dc:creator>
  <cp:lastModifiedBy>Un-named</cp:lastModifiedBy>
  <cp:revision>1</cp:revision>
  <dcterms:created xsi:type="dcterms:W3CDTF">2026-09-25T03:35:28.047Z</dcterms:created>
  <dcterms:modified xsi:type="dcterms:W3CDTF">2026-09-25T03:35:28.053Z</dcterms:modified>
</cp:coreProperties>
</file>

<file path=docProps/custom.xml><?xml version="1.0" encoding="utf-8"?>
<Properties xmlns="http://schemas.openxmlformats.org/officeDocument/2006/custom-properties" xmlns:vt="http://schemas.openxmlformats.org/officeDocument/2006/docPropsVTypes"/>
</file>