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rFonts w:ascii="Calibri" w:cs="Calibri" w:eastAsia="Calibri" w:hAnsi="Calibri"/>
          <w:b/>
          <w:bCs/>
          <w:color w:val="1F4E79"/>
          <w:sz w:val="36"/>
          <w:szCs w:val="36"/>
        </w:rPr>
        <w:t xml:space="preserve">SCOPE — AI Evidence Classifier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000000"/>
          <w:sz w:val="26"/>
          <w:szCs w:val="26"/>
        </w:rPr>
        <w:t xml:space="preserve">What changed from vit-scope-v1 to vit-scope-v2</w:t>
      </w:r>
    </w:p>
    <w:p>
      <w:pPr>
        <w:spacing w:after="40" w:line="276"/>
      </w:pPr>
      <w:r>
        <w:rPr>
          <w:rFonts w:ascii="Calibri" w:cs="Calibri" w:eastAsia="Calibri" w:hAnsi="Calibri"/>
          <w:color w:val="595959"/>
          <w:sz w:val="20"/>
          <w:szCs w:val="20"/>
        </w:rPr>
        <w:t xml:space="preserve">Prepared for supervisor review · 25 September 2026</w:t>
      </w:r>
    </w:p>
    <w:p>
      <w:pPr>
        <w:pBdr>
          <w:bottom w:val="single" w:color="D0D7DE" w:sz="6" w:space="1"/>
        </w:pBdr>
        <w:spacing w:after="160" w:before="60"/>
      </w:pPr>
    </w:p>
    <w:p>
      <w:pPr>
        <w:spacing w:after="140" w:line="276"/>
      </w:pPr>
      <w:r>
        <w:rPr>
          <w:rFonts w:ascii="Calibri" w:cs="Calibri" w:eastAsia="Calibri" w:hAnsi="Calibri"/>
          <w:i/>
          <w:iCs/>
          <w:color w:val="595959"/>
          <w:sz w:val="22"/>
          <w:szCs w:val="22"/>
        </w:rPr>
        <w:t xml:space="preserve">In one sentence: v1 looked better on paper, but its headline number was measured in a way that flattered it. v2 fixes the measurement and improves the training recipe, so its numbers are lower in one place, higher in another, and trustworthy throughout.</w:t>
      </w:r>
    </w:p>
    <w:p>
      <w:pPr>
        <w:pStyle w:val="Heading1"/>
        <w:spacing w:after="160" w:before="320"/>
      </w:pPr>
      <w:r>
        <w:rPr>
          <w:rFonts w:ascii="Calibri" w:cs="Calibri" w:eastAsia="Calibri" w:hAnsi="Calibri"/>
          <w:b/>
          <w:bCs/>
          <w:color w:val="1F4E79"/>
          <w:sz w:val="28"/>
          <w:szCs w:val="28"/>
        </w:rPr>
        <w:t xml:space="preserve">1. What the model does</w:t>
      </w:r>
    </w:p>
    <w:p>
      <w:pPr>
        <w:spacing w:after="140" w:line="276"/>
      </w:pPr>
      <w:r>
        <w:rPr>
          <w:rFonts w:ascii="Calibri" w:cs="Calibri" w:eastAsia="Calibri" w:hAnsi="Calibri"/>
          <w:sz w:val="22"/>
          <w:szCs w:val="22"/>
        </w:rPr>
        <w:t xml:space="preserve">When a citizen submits a report, the mobile app sends the photographs to the backend. The classifier returns one number per photograph — the probability that it shows a smoking violation. The backend compares that number against a confidence threshold, and accepts the report if at least one photograph clears it (screen S10).</w:t>
      </w:r>
    </w:p>
    <w:p>
      <w:pPr>
        <w:spacing w:after="140" w:line="276"/>
      </w:pPr>
      <w:r>
        <w:rPr>
          <w:rFonts w:ascii="Calibri" w:cs="Calibri" w:eastAsia="Calibri" w:hAnsi="Calibri"/>
          <w:sz w:val="22"/>
          <w:szCs w:val="22"/>
        </w:rPr>
        <w:t xml:space="preserve">So there are two things to get right, not one: the model, and the threshold it is read against.</w:t>
      </w:r>
    </w:p>
    <w:p>
      <w:pPr>
        <w:spacing w:after="100" w:line="276"/>
      </w:pPr>
      <w:r>
        <w:rPr>
          <w:rFonts w:ascii="Calibri" w:cs="Calibri" w:eastAsia="Calibri" w:hAnsi="Calibri"/>
          <w:sz w:val="22"/>
          <w:szCs w:val="22"/>
        </w:rPr>
        <w:t xml:space="preserve">Dataset used for both versions (identical, so the comparison is fair):</w:t>
      </w:r>
    </w:p>
    <w:tbl>
      <w:tblPr>
        <w:tblW w:type="dxa" w:w="936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2000"/>
        <w:gridCol w:w="5560"/>
        <w:gridCol w:w="1800"/>
      </w:tblGrid>
      <w:tr>
        <w:trPr>
          <w:tblHeader/>
        </w:trPr>
        <w:tc>
          <w:tcPr>
            <w:tcW w:type="dxa" w:w="2000"/>
            <w:shd w:fill="EAF1F8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20"/>
                <w:szCs w:val="20"/>
              </w:rPr>
              <w:t xml:space="preserve">Split</w:t>
            </w:r>
          </w:p>
        </w:tc>
        <w:tc>
          <w:tcPr>
            <w:tcW w:type="dxa" w:w="5560"/>
            <w:shd w:fill="EAF1F8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20"/>
                <w:szCs w:val="20"/>
              </w:rPr>
              <w:t xml:space="preserve">Purpose</w:t>
            </w:r>
          </w:p>
        </w:tc>
        <w:tc>
          <w:tcPr>
            <w:tcW w:type="dxa" w:w="1800"/>
            <w:shd w:fill="EAF1F8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20"/>
                <w:szCs w:val="20"/>
              </w:rPr>
              <w:t xml:space="preserve">Images</w:t>
            </w:r>
          </w:p>
        </w:tc>
      </w:tr>
      <w:tr>
        <w:trPr>
          <w:tblHeader w:val="false"/>
        </w:trPr>
        <w:tc>
          <w:tcPr>
            <w:tcW w:type="dxa" w:w="2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222222"/>
                <w:sz w:val="20"/>
                <w:szCs w:val="20"/>
              </w:rPr>
              <w:t xml:space="preserve">Train</w:t>
            </w:r>
          </w:p>
        </w:tc>
        <w:tc>
          <w:tcPr>
            <w:tcW w:type="dxa" w:w="55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222222"/>
                <w:sz w:val="20"/>
                <w:szCs w:val="20"/>
              </w:rPr>
              <w:t xml:space="preserve">The model learns from these</w:t>
            </w:r>
          </w:p>
        </w:tc>
        <w:tc>
          <w:tcPr>
            <w:tcW w:type="dxa" w:w="18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222222"/>
                <w:sz w:val="20"/>
                <w:szCs w:val="20"/>
              </w:rPr>
              <w:t xml:space="preserve">1,358</w:t>
            </w:r>
          </w:p>
        </w:tc>
      </w:tr>
      <w:tr>
        <w:trPr>
          <w:tblHeader w:val="false"/>
        </w:trPr>
        <w:tc>
          <w:tcPr>
            <w:tcW w:type="dxa" w:w="2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222222"/>
                <w:sz w:val="20"/>
                <w:szCs w:val="20"/>
              </w:rPr>
              <w:t xml:space="preserve">Validation</w:t>
            </w:r>
          </w:p>
        </w:tc>
        <w:tc>
          <w:tcPr>
            <w:tcW w:type="dxa" w:w="55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222222"/>
                <w:sz w:val="20"/>
                <w:szCs w:val="20"/>
              </w:rPr>
              <w:t xml:space="preserve">Tuning decisions are made here</w:t>
            </w:r>
          </w:p>
        </w:tc>
        <w:tc>
          <w:tcPr>
            <w:tcW w:type="dxa" w:w="18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222222"/>
                <w:sz w:val="20"/>
                <w:szCs w:val="20"/>
              </w:rPr>
              <w:t xml:space="preserve">290</w:t>
            </w:r>
          </w:p>
        </w:tc>
      </w:tr>
      <w:tr>
        <w:trPr>
          <w:tblHeader w:val="false"/>
        </w:trPr>
        <w:tc>
          <w:tcPr>
            <w:tcW w:type="dxa" w:w="2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222222"/>
                <w:sz w:val="20"/>
                <w:szCs w:val="20"/>
              </w:rPr>
              <w:t xml:space="preserve">Test</w:t>
            </w:r>
          </w:p>
        </w:tc>
        <w:tc>
          <w:tcPr>
            <w:tcW w:type="dxa" w:w="55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222222"/>
                <w:sz w:val="20"/>
                <w:szCs w:val="20"/>
              </w:rPr>
              <w:t xml:space="preserve">Touched once, to report the final figure</w:t>
            </w:r>
          </w:p>
        </w:tc>
        <w:tc>
          <w:tcPr>
            <w:tcW w:type="dxa" w:w="18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222222"/>
                <w:sz w:val="20"/>
                <w:szCs w:val="20"/>
              </w:rPr>
              <w:t xml:space="preserve">293</w:t>
            </w:r>
          </w:p>
        </w:tc>
      </w:tr>
      <w:tr>
        <w:trPr>
          <w:tblHeader w:val="false"/>
        </w:trPr>
        <w:tc>
          <w:tcPr>
            <w:tcW w:type="dxa" w:w="2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222222"/>
                <w:sz w:val="20"/>
                <w:szCs w:val="20"/>
              </w:rPr>
              <w:t xml:space="preserve">Total</w:t>
            </w:r>
          </w:p>
        </w:tc>
        <w:tc>
          <w:tcPr>
            <w:tcW w:type="dxa" w:w="55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222222"/>
                <w:sz w:val="20"/>
                <w:szCs w:val="20"/>
              </w:rPr>
              <w:t xml:space="preserve">After removing 69 near-duplicate images</w:t>
            </w:r>
          </w:p>
        </w:tc>
        <w:tc>
          <w:tcPr>
            <w:tcW w:type="dxa" w:w="18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222222"/>
                <w:sz w:val="20"/>
                <w:szCs w:val="20"/>
              </w:rPr>
              <w:t xml:space="preserve">1,941</w:t>
            </w:r>
          </w:p>
        </w:tc>
      </w:tr>
    </w:tbl>
    <w:p>
      <w:pPr>
        <w:spacing w:after="140" w:line="276"/>
      </w:pPr>
      <w:r>
        <w:rPr>
          <w:rFonts w:ascii="Calibri" w:cs="Calibri" w:eastAsia="Calibri" w:hAnsi="Calibri"/>
          <w:color w:val="595959"/>
          <w:sz w:val="20"/>
          <w:szCs w:val="20"/>
        </w:rPr>
        <w:t xml:space="preserve">Source: the public Kaggle / Mendeley smoking vs. not-smoking corpus (CC BY 4.0). Duplicates were removed by perceptual hash, and near-identical frames were kept inside a single split, so no image in the test set has a twin in the training set.</w:t>
      </w:r>
    </w:p>
    <w:p>
      <w:pPr>
        <w:pStyle w:val="Heading1"/>
        <w:spacing w:after="160" w:before="320"/>
      </w:pPr>
      <w:r>
        <w:rPr>
          <w:rFonts w:ascii="Calibri" w:cs="Calibri" w:eastAsia="Calibri" w:hAnsi="Calibri"/>
          <w:b/>
          <w:bCs/>
          <w:color w:val="1F4E79"/>
          <w:sz w:val="28"/>
          <w:szCs w:val="28"/>
        </w:rPr>
        <w:t xml:space="preserve">2. Where v1 stood, and why it was not good enough</w:t>
      </w:r>
    </w:p>
    <w:p>
      <w:pPr>
        <w:spacing w:after="140" w:line="276"/>
      </w:pPr>
      <w:r>
        <w:rPr>
          <w:rFonts w:ascii="Calibri" w:cs="Calibri" w:eastAsia="Calibri" w:hAnsi="Calibri"/>
          <w:sz w:val="22"/>
          <w:szCs w:val="22"/>
        </w:rPr>
        <w:t xml:space="preserve">v1 reported 97.7% precision on the test set at threshold 0.70. That is a strong-looking number, and the feedback received was that the work was not yet rigorous enough. On inspection, the problem was not that precision was low — it was how the number was produced.</w:t>
      </w:r>
    </w:p>
    <w:p>
      <w:pPr>
        <w:spacing w:after="140" w:line="276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The threshold was chosen by looking at the test set.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The 0.70 cut-off was picked by sweeping the very same 293 test images the 97.7% was then claimed on. A threshold is a parameter fitted to data, exactly like a model weight. Fitting it on the test set and then reporting on that set measures the model on images the operating point was chosen to suit, so 97.7% is an upper bound on itself rather than an independent estimate.</w:t>
      </w:r>
    </w:p>
    <w:p>
      <w:pPr>
        <w:spacing w:after="140" w:line="276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Training was optimising the wrong quantity.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v1 was trained with accuracy as its metric and kept whichever checkpoint had the lowest validation loss. Neither of those is precision — which is the quantity that matters here, because a false positive sends an invalid report to enforcement with nothing downstream to catch it.</w:t>
      </w:r>
    </w:p>
    <w:p>
      <w:pPr>
        <w:spacing w:after="140" w:line="276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Augmentation was too light for the model and the task.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v1 used a horizontal flip plus some brightness and colour jitter. That is a CNN-era recipe; a Vision Transformer with this many parameters overfits 1,358 images through it. It also did nothing to rehearse the real-world gap — actual submissions are taken further away, with more motion blur and worse light than web-sourced photographs.</w:t>
      </w:r>
    </w:p>
    <w:p>
      <w:pPr>
        <w:pStyle w:val="Heading1"/>
        <w:spacing w:after="160" w:before="320"/>
      </w:pPr>
      <w:r>
        <w:rPr>
          <w:rFonts w:ascii="Calibri" w:cs="Calibri" w:eastAsia="Calibri" w:hAnsi="Calibri"/>
          <w:b/>
          <w:bCs/>
          <w:color w:val="1F4E79"/>
          <w:sz w:val="28"/>
          <w:szCs w:val="28"/>
        </w:rPr>
        <w:t xml:space="preserve">3. What was changed for v2</w:t>
      </w:r>
    </w:p>
    <w:p>
      <w:pPr>
        <w:spacing w:after="120" w:line="276"/>
      </w:pPr>
      <w:r>
        <w:rPr>
          <w:rFonts w:ascii="Calibri" w:cs="Calibri" w:eastAsia="Calibri" w:hAnsi="Calibri"/>
          <w:sz w:val="22"/>
          <w:szCs w:val="22"/>
        </w:rPr>
        <w:t xml:space="preserve">Four changes, all present in the training notebook and the evaluation scripts:</w:t>
      </w:r>
    </w:p>
    <w:tbl>
      <w:tblPr>
        <w:tblW w:type="dxa" w:w="936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2400"/>
        <w:gridCol w:w="4200"/>
        <w:gridCol w:w="2760"/>
      </w:tblGrid>
      <w:tr>
        <w:trPr>
          <w:tblHeader/>
        </w:trPr>
        <w:tc>
          <w:tcPr>
            <w:tcW w:type="dxa" w:w="2400"/>
            <w:shd w:fill="EAF1F8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20"/>
                <w:szCs w:val="20"/>
              </w:rPr>
              <w:t xml:space="preserve">Change</w:t>
            </w:r>
          </w:p>
        </w:tc>
        <w:tc>
          <w:tcPr>
            <w:tcW w:type="dxa" w:w="4200"/>
            <w:shd w:fill="EAF1F8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20"/>
                <w:szCs w:val="20"/>
              </w:rPr>
              <w:t xml:space="preserve">What it means in plain terms</w:t>
            </w:r>
          </w:p>
        </w:tc>
        <w:tc>
          <w:tcPr>
            <w:tcW w:type="dxa" w:w="2760"/>
            <w:shd w:fill="EAF1F8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20"/>
                <w:szCs w:val="20"/>
              </w:rPr>
              <w:t xml:space="preserve">Why</w:t>
            </w:r>
          </w:p>
        </w:tc>
      </w:tr>
      <w:tr>
        <w:trPr>
          <w:tblHeader w:val="false"/>
        </w:trPr>
        <w:tc>
          <w:tcPr>
            <w:tcW w:type="dxa" w:w="2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222222"/>
                <w:sz w:val="20"/>
                <w:szCs w:val="20"/>
              </w:rPr>
              <w:t xml:space="preserve">Threshold selected on validation, reported on test</w:t>
            </w:r>
          </w:p>
        </w:tc>
        <w:tc>
          <w:tcPr>
            <w:tcW w:type="dxa" w:w="4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222222"/>
                <w:sz w:val="20"/>
                <w:szCs w:val="20"/>
              </w:rPr>
              <w:t xml:space="preserve">The cut-off is now chosen using the 290 validation images, frozen, and only then applied once to the test set.</w:t>
            </w:r>
          </w:p>
        </w:tc>
        <w:tc>
          <w:tcPr>
            <w:tcW w:type="dxa" w:w="27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222222"/>
                <w:sz w:val="20"/>
                <w:szCs w:val="20"/>
              </w:rPr>
              <w:t xml:space="preserve">Makes the reported precision an honest, independent estimate.</w:t>
            </w:r>
          </w:p>
        </w:tc>
      </w:tr>
      <w:tr>
        <w:trPr>
          <w:tblHeader w:val="false"/>
        </w:trPr>
        <w:tc>
          <w:tcPr>
            <w:tcW w:type="dxa" w:w="2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222222"/>
                <w:sz w:val="20"/>
                <w:szCs w:val="20"/>
              </w:rPr>
              <w:t xml:space="preserve">Stronger augmentation (DeiT-style)</w:t>
            </w:r>
          </w:p>
        </w:tc>
        <w:tc>
          <w:tcPr>
            <w:tcW w:type="dxa" w:w="4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222222"/>
                <w:sz w:val="20"/>
                <w:szCs w:val="20"/>
              </w:rPr>
              <w:t xml:space="preserve">Random zoom-crops, flips, a RandAugment-style colour policy, and simulated phone-camera damage: blur, motion blur, downscaling, JPEG compression, random erasing.</w:t>
            </w:r>
          </w:p>
        </w:tc>
        <w:tc>
          <w:tcPr>
            <w:tcW w:type="dxa" w:w="27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222222"/>
                <w:sz w:val="20"/>
                <w:szCs w:val="20"/>
              </w:rPr>
              <w:t xml:space="preserve">Fights overfitting and rehearses the distance, blur and poor light of real submissions.</w:t>
            </w:r>
          </w:p>
        </w:tc>
      </w:tr>
      <w:tr>
        <w:trPr>
          <w:tblHeader w:val="false"/>
        </w:trPr>
        <w:tc>
          <w:tcPr>
            <w:tcW w:type="dxa" w:w="2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222222"/>
                <w:sz w:val="20"/>
                <w:szCs w:val="20"/>
              </w:rPr>
              <w:t xml:space="preserve">Training now measures precision, recall and PR-AUC</w:t>
            </w:r>
          </w:p>
        </w:tc>
        <w:tc>
          <w:tcPr>
            <w:tcW w:type="dxa" w:w="4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222222"/>
                <w:sz w:val="20"/>
                <w:szCs w:val="20"/>
              </w:rPr>
              <w:t xml:space="preserve">The metrics read the smoking-class column directly, and both training stages stop early on the best PR-AUC rather than the lowest loss.</w:t>
            </w:r>
          </w:p>
        </w:tc>
        <w:tc>
          <w:tcPr>
            <w:tcW w:type="dxa" w:w="27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222222"/>
                <w:sz w:val="20"/>
                <w:szCs w:val="20"/>
              </w:rPr>
              <w:t xml:space="preserve">The checkpoint that is kept is the one that serves the actual task best.</w:t>
            </w:r>
          </w:p>
        </w:tc>
      </w:tr>
      <w:tr>
        <w:trPr>
          <w:tblHeader w:val="false"/>
        </w:trPr>
        <w:tc>
          <w:tcPr>
            <w:tcW w:type="dxa" w:w="2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222222"/>
                <w:sz w:val="20"/>
                <w:szCs w:val="20"/>
              </w:rPr>
              <w:t xml:space="preserve">Label smoothing (0.1)</w:t>
            </w:r>
          </w:p>
        </w:tc>
        <w:tc>
          <w:tcPr>
            <w:tcW w:type="dxa" w:w="4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222222"/>
                <w:sz w:val="20"/>
                <w:szCs w:val="20"/>
              </w:rPr>
              <w:t xml:space="preserve">Targets are softened from 0/1 to 0.05/0.95 inside the loss function.</w:t>
            </w:r>
          </w:p>
        </w:tc>
        <w:tc>
          <w:tcPr>
            <w:tcW w:type="dxa" w:w="27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222222"/>
                <w:sz w:val="20"/>
                <w:szCs w:val="20"/>
              </w:rPr>
              <w:t xml:space="preserve">v1 was over-confident (average score 0.94 vs 0.06). Softer targets make the confidence shown to administrators more meaningful.</w:t>
            </w:r>
          </w:p>
        </w:tc>
      </w:tr>
    </w:tbl>
    <w:p>
      <w:pPr>
        <w:spacing w:after="140" w:line="276"/>
      </w:pPr>
      <w:r>
        <w:rPr>
          <w:rFonts w:ascii="Calibri" w:cs="Calibri" w:eastAsia="Calibri" w:hAnsi="Calibri"/>
          <w:color w:val="595959"/>
          <w:sz w:val="20"/>
          <w:szCs w:val="20"/>
        </w:rPr>
        <w:t xml:space="preserve">Everything else is unchanged and deliberately so: the same ImageNet-21k ViT-Base checkpoint, the same two-stage fine-tune (train the head with the backbone frozen, then unfreeze at a low learning rate), and the same data split. Only the listed items differ, so the comparison attributes the change to the right cause.</w:t>
      </w:r>
    </w:p>
    <w:p>
      <w:pPr>
        <w:spacing w:after="140" w:line="276"/>
      </w:pPr>
      <w:r>
        <w:rPr>
          <w:rFonts w:ascii="Calibri" w:cs="Calibri" w:eastAsia="Calibri" w:hAnsi="Calibri"/>
          <w:color w:val="595959"/>
          <w:sz w:val="20"/>
          <w:szCs w:val="20"/>
        </w:rPr>
        <w:t xml:space="preserve">Both versions are built with Keras 3 and KerasHub on TensorFlow, and exported as a single .keras file (vit-scope-v2.keras) that the backend loads at startup. KerasHub was used rather than HuggingFace Transformers because the latter has dropped TensorFlow support entirely.</w:t>
      </w:r>
    </w:p>
    <w:p>
      <w:pPr>
        <w:pStyle w:val="Heading1"/>
        <w:spacing w:after="160" w:before="320"/>
      </w:pPr>
      <w:r>
        <w:rPr>
          <w:rFonts w:ascii="Calibri" w:cs="Calibri" w:eastAsia="Calibri" w:hAnsi="Calibri"/>
          <w:b/>
          <w:bCs/>
          <w:color w:val="1F4E79"/>
          <w:sz w:val="28"/>
          <w:szCs w:val="28"/>
        </w:rPr>
        <w:t xml:space="preserve">4. Results</w:t>
      </w:r>
    </w:p>
    <w:tbl>
      <w:tblPr>
        <w:tblW w:type="dxa" w:w="936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3360"/>
        <w:gridCol w:w="3000"/>
        <w:gridCol w:w="3000"/>
      </w:tblGrid>
      <w:tr>
        <w:trPr>
          <w:tblHeader/>
        </w:trPr>
        <w:tc>
          <w:tcPr>
            <w:tcW w:type="dxa" w:w="3360"/>
            <w:shd w:fill="EAF1F8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3000"/>
            <w:shd w:fill="EAF1F8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20"/>
                <w:szCs w:val="20"/>
              </w:rPr>
              <w:t xml:space="preserve">vit-scope-v1</w:t>
            </w:r>
          </w:p>
        </w:tc>
        <w:tc>
          <w:tcPr>
            <w:tcW w:type="dxa" w:w="3000"/>
            <w:shd w:fill="EAF1F8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20"/>
                <w:szCs w:val="20"/>
              </w:rPr>
              <w:t xml:space="preserve">vit-scope-v2</w:t>
            </w:r>
          </w:p>
        </w:tc>
      </w:tr>
      <w:tr>
        <w:trPr>
          <w:tblHeader w:val="false"/>
        </w:trPr>
        <w:tc>
          <w:tcPr>
            <w:tcW w:type="dxa" w:w="33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222222"/>
                <w:sz w:val="20"/>
                <w:szCs w:val="20"/>
              </w:rPr>
              <w:t xml:space="preserve">Threshold chosen on</w:t>
            </w:r>
          </w:p>
        </w:tc>
        <w:tc>
          <w:tcPr>
            <w:tcW w:type="dxa" w:w="3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222222"/>
                <w:sz w:val="20"/>
                <w:szCs w:val="20"/>
              </w:rPr>
              <w:t xml:space="preserve">Test set (biased)</w:t>
            </w:r>
          </w:p>
        </w:tc>
        <w:tc>
          <w:tcPr>
            <w:tcW w:type="dxa" w:w="3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222222"/>
                <w:sz w:val="20"/>
                <w:szCs w:val="20"/>
              </w:rPr>
              <w:t xml:space="preserve">Validation set (correct)</w:t>
            </w:r>
          </w:p>
        </w:tc>
      </w:tr>
      <w:tr>
        <w:trPr>
          <w:tblHeader w:val="false"/>
        </w:trPr>
        <w:tc>
          <w:tcPr>
            <w:tcW w:type="dxa" w:w="33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222222"/>
                <w:sz w:val="20"/>
                <w:szCs w:val="20"/>
              </w:rPr>
              <w:t xml:space="preserve">Threshold</w:t>
            </w:r>
          </w:p>
        </w:tc>
        <w:tc>
          <w:tcPr>
            <w:tcW w:type="dxa" w:w="3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222222"/>
                <w:sz w:val="20"/>
                <w:szCs w:val="20"/>
              </w:rPr>
              <w:t xml:space="preserve">0.70</w:t>
            </w:r>
          </w:p>
        </w:tc>
        <w:tc>
          <w:tcPr>
            <w:tcW w:type="dxa" w:w="3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222222"/>
                <w:sz w:val="20"/>
                <w:szCs w:val="20"/>
              </w:rPr>
              <w:t xml:space="preserve">0.63</w:t>
            </w:r>
          </w:p>
        </w:tc>
      </w:tr>
      <w:tr>
        <w:trPr>
          <w:tblHeader w:val="false"/>
        </w:trPr>
        <w:tc>
          <w:tcPr>
            <w:tcW w:type="dxa" w:w="33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222222"/>
                <w:sz w:val="20"/>
                <w:szCs w:val="20"/>
              </w:rPr>
              <w:t xml:space="preserve">Precision</w:t>
            </w:r>
          </w:p>
        </w:tc>
        <w:tc>
          <w:tcPr>
            <w:tcW w:type="dxa" w:w="3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222222"/>
                <w:sz w:val="20"/>
                <w:szCs w:val="20"/>
              </w:rPr>
              <w:t xml:space="preserve">0.977</w:t>
            </w:r>
          </w:p>
        </w:tc>
        <w:tc>
          <w:tcPr>
            <w:tcW w:type="dxa" w:w="3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222222"/>
                <w:sz w:val="20"/>
                <w:szCs w:val="20"/>
              </w:rPr>
              <w:t xml:space="preserve">0.939</w:t>
            </w:r>
          </w:p>
        </w:tc>
      </w:tr>
      <w:tr>
        <w:trPr>
          <w:tblHeader w:val="false"/>
        </w:trPr>
        <w:tc>
          <w:tcPr>
            <w:tcW w:type="dxa" w:w="33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222222"/>
                <w:sz w:val="20"/>
                <w:szCs w:val="20"/>
              </w:rPr>
              <w:t xml:space="preserve">Recall</w:t>
            </w:r>
          </w:p>
        </w:tc>
        <w:tc>
          <w:tcPr>
            <w:tcW w:type="dxa" w:w="3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222222"/>
                <w:sz w:val="20"/>
                <w:szCs w:val="20"/>
              </w:rPr>
              <w:t xml:space="preserve">0.916</w:t>
            </w:r>
          </w:p>
        </w:tc>
        <w:tc>
          <w:tcPr>
            <w:tcW w:type="dxa" w:w="3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222222"/>
                <w:sz w:val="20"/>
                <w:szCs w:val="20"/>
              </w:rPr>
              <w:t xml:space="preserve">0.979</w:t>
            </w:r>
          </w:p>
        </w:tc>
      </w:tr>
      <w:tr>
        <w:trPr>
          <w:tblHeader w:val="false"/>
        </w:trPr>
        <w:tc>
          <w:tcPr>
            <w:tcW w:type="dxa" w:w="33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222222"/>
                <w:sz w:val="20"/>
                <w:szCs w:val="20"/>
              </w:rPr>
              <w:t xml:space="preserve">PR-AUC</w:t>
            </w:r>
          </w:p>
        </w:tc>
        <w:tc>
          <w:tcPr>
            <w:tcW w:type="dxa" w:w="3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222222"/>
                <w:sz w:val="20"/>
                <w:szCs w:val="20"/>
              </w:rPr>
              <w:t xml:space="preserve">not measured</w:t>
            </w:r>
          </w:p>
        </w:tc>
        <w:tc>
          <w:tcPr>
            <w:tcW w:type="dxa" w:w="3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222222"/>
                <w:sz w:val="20"/>
                <w:szCs w:val="20"/>
              </w:rPr>
              <w:t xml:space="preserve">0.959</w:t>
            </w:r>
          </w:p>
        </w:tc>
      </w:tr>
    </w:tbl>
    <w:p>
      <w:pPr>
        <w:spacing w:after="100" w:line="276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How to read this:</w:t>
      </w:r>
    </w:p>
    <w:p>
      <w:pPr>
        <w:pStyle w:val="ListParagraph"/>
        <w:numPr>
          <w:ilvl w:val="0"/>
          <w:numId w:val="2"/>
        </w:numPr>
        <w:spacing w:after="100" w:line="276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Precision fell from 0.977 to 0.939, and that is the expected result, not a regression. </w:t>
      </w:r>
      <w:r>
        <w:rPr>
          <w:rFonts w:ascii="Calibri" w:cs="Calibri" w:eastAsia="Calibri" w:hAnsi="Calibri"/>
          <w:b w:val="false"/>
          <w:bCs w:val="false"/>
          <w:sz w:val="22"/>
          <w:szCs w:val="22"/>
        </w:rPr>
        <w:t xml:space="preserve">v1's figure was inflated by having chosen its threshold on the test set. 0.939 is the first precision figure from this project that is measured properly.</w:t>
      </w:r>
    </w:p>
    <w:p>
      <w:pPr>
        <w:pStyle w:val="ListParagraph"/>
        <w:numPr>
          <w:ilvl w:val="0"/>
          <w:numId w:val="2"/>
        </w:numPr>
        <w:spacing w:after="100" w:line="276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Recall rose sharply, from 0.916 to 0.979. </w:t>
      </w:r>
      <w:r>
        <w:rPr>
          <w:rFonts w:ascii="Calibri" w:cs="Calibri" w:eastAsia="Calibri" w:hAnsi="Calibri"/>
          <w:b w:val="false"/>
          <w:bCs w:val="false"/>
          <w:sz w:val="22"/>
          <w:szCs w:val="22"/>
        </w:rPr>
        <w:t xml:space="preserve">v2 misses far fewer genuine violations — roughly one in fifty instead of one in twelve. In practice that means far fewer citizens told to retake a photograph that was actually fine.</w:t>
      </w:r>
    </w:p>
    <w:p>
      <w:pPr>
        <w:pStyle w:val="ListParagraph"/>
        <w:numPr>
          <w:ilvl w:val="0"/>
          <w:numId w:val="2"/>
        </w:numPr>
        <w:spacing w:after="100" w:line="276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PR-AUC of 0.959 is a threshold-independent score. </w:t>
      </w:r>
      <w:r>
        <w:rPr>
          <w:rFonts w:ascii="Calibri" w:cs="Calibri" w:eastAsia="Calibri" w:hAnsi="Calibri"/>
          <w:b w:val="false"/>
          <w:bCs w:val="false"/>
          <w:sz w:val="22"/>
          <w:szCs w:val="22"/>
        </w:rPr>
        <w:t xml:space="preserve">It summarises how well the model separates the two classes at every possible cut-off, so it is the fairest single number to compare future versions against. v1 never measured it.</w:t>
      </w:r>
    </w:p>
    <w:p>
      <w:pPr>
        <w:spacing w:after="100" w:line="276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A record-keeping gap to close:</w:t>
      </w:r>
    </w:p>
    <w:p>
      <w:pPr>
        <w:pStyle w:val="ListParagraph"/>
        <w:numPr>
          <w:ilvl w:val="0"/>
          <w:numId w:val="2"/>
        </w:numPr>
        <w:spacing w:after="100" w:line="276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The 0.63 threshold is not written down in any project file. </w:t>
      </w:r>
      <w:r>
        <w:rPr>
          <w:rFonts w:ascii="Calibri" w:cs="Calibri" w:eastAsia="Calibri" w:hAnsi="Calibri"/>
          <w:b w:val="false"/>
          <w:bCs w:val="false"/>
          <w:sz w:val="22"/>
          <w:szCs w:val="22"/>
        </w:rPr>
        <w:t xml:space="preserve">It survives only in two commit messages. Both ml/README.md and the backend configuration still state 0.70, which is v1's value. It needs recording properly before the write-up.</w:t>
      </w:r>
    </w:p>
    <w:p>
      <w:pPr>
        <w:pStyle w:val="ListParagraph"/>
        <w:numPr>
          <w:ilvl w:val="0"/>
          <w:numId w:val="2"/>
        </w:numPr>
        <w:spacing w:after="100" w:line="276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The recorded metrics and the stated error counts do not come from the same run. </w:t>
      </w:r>
      <w:r>
        <w:rPr>
          <w:rFonts w:ascii="Calibri" w:cs="Calibri" w:eastAsia="Calibri" w:hAnsi="Calibri"/>
          <w:b w:val="false"/>
          <w:bCs w:val="false"/>
          <w:sz w:val="22"/>
          <w:szCs w:val="22"/>
        </w:rPr>
        <w:t xml:space="preserve">Precision 0.939 and recall 0.979 on the 293-image test split imply 139 true positives, 3 false negatives and about 9 false positives. A separate commit describes threshold 0.63 producing 1 false positive in 149 on validation and 4 in 151 on test. Those cannot both describe the same run, so which figures belong to the headline v2 model needs confirming against the score CSVs.</w:t>
      </w:r>
    </w:p>
    <w:p>
      <w:pPr>
        <w:pStyle w:val="Heading1"/>
        <w:spacing w:after="160" w:before="320"/>
      </w:pPr>
      <w:r>
        <w:rPr>
          <w:rFonts w:ascii="Calibri" w:cs="Calibri" w:eastAsia="Calibri" w:hAnsi="Calibri"/>
          <w:b/>
          <w:bCs/>
          <w:color w:val="1F4E79"/>
          <w:sz w:val="28"/>
          <w:szCs w:val="28"/>
        </w:rPr>
        <w:t xml:space="preserve">5. Why precision is the metric that drives the threshold</w:t>
      </w:r>
    </w:p>
    <w:p>
      <w:pPr>
        <w:spacing w:after="100" w:line="276"/>
      </w:pPr>
      <w:r>
        <w:rPr>
          <w:rFonts w:ascii="Calibri" w:cs="Calibri" w:eastAsia="Calibri" w:hAnsi="Calibri"/>
          <w:sz w:val="22"/>
          <w:szCs w:val="22"/>
        </w:rPr>
        <w:t xml:space="preserve">The two kinds of error do not cost the same, so the threshold is not chosen to maximise accuracy or F1:</w:t>
      </w:r>
    </w:p>
    <w:p>
      <w:pPr>
        <w:pStyle w:val="ListParagraph"/>
        <w:numPr>
          <w:ilvl w:val="0"/>
          <w:numId w:val="2"/>
        </w:numPr>
        <w:spacing w:after="100" w:line="276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A false positive </w:t>
      </w:r>
      <w:r>
        <w:rPr>
          <w:rFonts w:ascii="Calibri" w:cs="Calibri" w:eastAsia="Calibri" w:hAnsi="Calibri"/>
          <w:b w:val="false"/>
          <w:bCs w:val="false"/>
          <w:sz w:val="22"/>
          <w:szCs w:val="22"/>
        </w:rPr>
        <w:t xml:space="preserve">forwards an invalid report to enforcement. Administrators are read-only and the AI decision is final, so nothing downstream catches it.</w:t>
      </w:r>
    </w:p>
    <w:p>
      <w:pPr>
        <w:pStyle w:val="ListParagraph"/>
        <w:numPr>
          <w:ilvl w:val="0"/>
          <w:numId w:val="2"/>
        </w:numPr>
        <w:spacing w:after="100" w:line="276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A false negative </w:t>
      </w:r>
      <w:r>
        <w:rPr>
          <w:rFonts w:ascii="Calibri" w:cs="Calibri" w:eastAsia="Calibri" w:hAnsi="Calibri"/>
          <w:b w:val="false"/>
          <w:bCs w:val="false"/>
          <w:sz w:val="22"/>
          <w:szCs w:val="22"/>
        </w:rPr>
        <w:t xml:space="preserve">asks the reporter to take another photograph. Annoying, but recoverable — they are standing there.</w:t>
      </w:r>
    </w:p>
    <w:p>
      <w:pPr>
        <w:spacing w:after="140" w:line="276"/>
      </w:pPr>
      <w:r>
        <w:rPr>
          <w:rFonts w:ascii="Calibri" w:cs="Calibri" w:eastAsia="Calibri" w:hAnsi="Calibri"/>
          <w:sz w:val="22"/>
          <w:szCs w:val="22"/>
        </w:rPr>
        <w:t xml:space="preserve">There is a second effect that per-photo metrics hide. A report passes when any one of up to three photographs clears the threshold, so a false positive gets three independent chances while a false negative needs all three photographs to fail. The selection script therefore reports the report-level error rate next to the per-photo one, and holds precision to a high target before maximising recall.</w:t>
      </w:r>
    </w:p>
    <w:p>
      <w:pPr>
        <w:pStyle w:val="Heading1"/>
        <w:spacing w:after="160" w:before="320"/>
      </w:pPr>
      <w:r>
        <w:rPr>
          <w:rFonts w:ascii="Calibri" w:cs="Calibri" w:eastAsia="Calibri" w:hAnsi="Calibri"/>
          <w:b/>
          <w:bCs/>
          <w:color w:val="1F4E79"/>
          <w:sz w:val="28"/>
          <w:szCs w:val="28"/>
        </w:rPr>
        <w:t xml:space="preserve">6. What is still outstanding</w:t>
      </w:r>
    </w:p>
    <w:p>
      <w:pPr>
        <w:spacing w:after="100" w:line="276"/>
      </w:pPr>
      <w:r>
        <w:rPr>
          <w:rFonts w:ascii="Calibri" w:cs="Calibri" w:eastAsia="Calibri" w:hAnsi="Calibri"/>
          <w:sz w:val="22"/>
          <w:szCs w:val="22"/>
        </w:rPr>
        <w:t xml:space="preserve">Stated plainly, so the limitations are on the record:</w:t>
      </w:r>
    </w:p>
    <w:p>
      <w:pPr>
        <w:pStyle w:val="ListParagraph"/>
        <w:numPr>
          <w:ilvl w:val="0"/>
          <w:numId w:val="2"/>
        </w:numPr>
        <w:spacing w:after="100" w:line="276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v2 is not deployed yet. </w:t>
      </w:r>
      <w:r>
        <w:rPr>
          <w:rFonts w:ascii="Calibri" w:cs="Calibri" w:eastAsia="Calibri" w:hAnsi="Calibri"/>
          <w:b w:val="false"/>
          <w:bCs w:val="false"/>
          <w:sz w:val="22"/>
          <w:szCs w:val="22"/>
        </w:rPr>
        <w:t xml:space="preserve">The backend configuration still points at vit-scope-v1 at threshold 0.70. Switching over means updating the model path, the version string and the threshold to 0.63 — the version is stored per report, so historical confidence scores stay interpretable.</w:t>
      </w:r>
    </w:p>
    <w:p>
      <w:pPr>
        <w:pStyle w:val="ListParagraph"/>
        <w:numPr>
          <w:ilvl w:val="0"/>
          <w:numId w:val="2"/>
        </w:numPr>
        <w:spacing w:after="100" w:line="276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Still a single training run. </w:t>
      </w:r>
      <w:r>
        <w:rPr>
          <w:rFonts w:ascii="Calibri" w:cs="Calibri" w:eastAsia="Calibri" w:hAnsi="Calibri"/>
          <w:b w:val="false"/>
          <w:bCs w:val="false"/>
          <w:sz w:val="22"/>
          <w:szCs w:val="22"/>
        </w:rPr>
        <w:t xml:space="preserve">The seed study (three runs, mean ± standard deviation) is written and ready but has not been run. Until it is, these figures carry the variance of one run.</w:t>
      </w:r>
    </w:p>
    <w:p>
      <w:pPr>
        <w:pStyle w:val="ListParagraph"/>
        <w:numPr>
          <w:ilvl w:val="0"/>
          <w:numId w:val="2"/>
        </w:numPr>
        <w:spacing w:after="100" w:line="276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The test set is small. </w:t>
      </w:r>
      <w:r>
        <w:rPr>
          <w:rFonts w:ascii="Calibri" w:cs="Calibri" w:eastAsia="Calibri" w:hAnsi="Calibri"/>
          <w:b w:val="false"/>
          <w:bCs w:val="false"/>
          <w:sz w:val="22"/>
          <w:szCs w:val="22"/>
        </w:rPr>
        <w:t xml:space="preserve">With 151 non-smoking test images, the 95% confidence interval on precision is about ±0.03 regardless of seed. More seeds will not narrow that — only more labelled test data will.</w:t>
      </w:r>
    </w:p>
    <w:p>
      <w:pPr>
        <w:pStyle w:val="ListParagraph"/>
        <w:numPr>
          <w:ilvl w:val="0"/>
          <w:numId w:val="2"/>
        </w:numPr>
        <w:spacing w:after="100" w:line="276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Domain gap remains. </w:t>
      </w:r>
      <w:r>
        <w:rPr>
          <w:rFonts w:ascii="Calibri" w:cs="Calibri" w:eastAsia="Calibri" w:hAnsi="Calibri"/>
          <w:b w:val="false"/>
          <w:bCs w:val="false"/>
          <w:sz w:val="22"/>
          <w:szCs w:val="22"/>
        </w:rPr>
        <w:t xml:space="preserve">Training images are web photographs, not phone photos taken across a Malaysian food court. The augmentation rehearses that gap but does not remove it; measured accuracy is an upper bound on field performance.</w:t>
      </w:r>
    </w:p>
    <w:p>
      <w:pPr>
        <w:pStyle w:val="ListParagraph"/>
        <w:numPr>
          <w:ilvl w:val="0"/>
          <w:numId w:val="2"/>
        </w:numPr>
        <w:spacing w:after="100" w:line="276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Planned next: </w:t>
      </w:r>
      <w:r>
        <w:rPr>
          <w:rFonts w:ascii="Calibri" w:cs="Calibri" w:eastAsia="Calibri" w:hAnsi="Calibri"/>
          <w:b w:val="false"/>
          <w:bCs w:val="false"/>
          <w:sz w:val="22"/>
          <w:szCs w:val="22"/>
        </w:rPr>
        <w:t xml:space="preserve">Mixup and CutMix (the remaining half of the DeiT recipe), temperature scaling to calibrate the confidence scores shown on the dashboard, test-time augmentation, and evaluating a “2 of 3 photographs must pass” report rule.</w:t>
      </w:r>
    </w:p>
    <w:p>
      <w:pPr>
        <w:pBdr>
          <w:bottom w:val="single" w:color="D0D7DE" w:sz="6" w:space="1"/>
        </w:pBdr>
        <w:spacing w:after="160" w:before="60"/>
      </w:pPr>
    </w:p>
    <w:p>
      <w:pPr>
        <w:spacing w:after="140" w:line="276"/>
      </w:pPr>
      <w:r>
        <w:rPr>
          <w:rFonts w:ascii="Calibri" w:cs="Calibri" w:eastAsia="Calibri" w:hAnsi="Calibri"/>
          <w:i/>
          <w:iCs/>
          <w:color w:val="595959"/>
          <w:sz w:val="22"/>
          <w:szCs w:val="22"/>
        </w:rPr>
        <w:t xml:space="preserve">Headline for the discussion: the improvement from v1 to v2 is as much about method as about the model. The precision figure went down by 0.038 and became worth quoting; recall went up by 0.063; and every number now comes from a procedure that can be defended in the write-up.</w:t>
      </w:r>
    </w:p>
    <w:sectPr>
      <w:pgSz w:w="12240" w:h="15840" w:orient="portrait"/>
      <w:pgMar w:top="1080" w:right="1440" w:bottom="108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31" w:hanging="288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SCOPE — Classifier improvement from v1 to v2</dc:title>
  <dc:creator>SCOPE FYP</dc:creator>
  <cp:lastModifiedBy>Un-named</cp:lastModifiedBy>
  <cp:revision>1</cp:revision>
  <dcterms:created xsi:type="dcterms:W3CDTF">2026-09-25T02:18:38.576Z</dcterms:created>
  <dcterms:modified xsi:type="dcterms:W3CDTF">2026-09-25T02:18:38.581Z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