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SCOPE — AI Evidence Classifier</w:t>
      </w:r>
    </w:p>
    <w:p>
      <w:pPr>
        <w:spacing w:after="60"/>
      </w:pPr>
      <w:r>
        <w:rPr>
          <w:rFonts w:ascii="Calibri" w:cs="Calibri" w:eastAsia="Calibri" w:hAnsi="Calibri"/>
          <w:b/>
          <w:bCs/>
          <w:color w:val="000000"/>
          <w:sz w:val="26"/>
          <w:szCs w:val="26"/>
        </w:rPr>
        <w:t xml:space="preserve">What changed from vit-scope-v1 to vit-scope-v2</w:t>
      </w:r>
    </w:p>
    <w:p>
      <w:pPr>
        <w:spacing w:after="40" w:line="276"/>
      </w:pPr>
      <w:r>
        <w:rPr>
          <w:rFonts w:ascii="Calibri" w:cs="Calibri" w:eastAsia="Calibri" w:hAnsi="Calibri"/>
          <w:color w:val="595959"/>
          <w:sz w:val="20"/>
          <w:szCs w:val="20"/>
        </w:rPr>
        <w:t xml:space="preserve">Prepared for supervisor review · 25 September 2026</w:t>
      </w:r>
    </w:p>
    <w:p>
      <w:pPr>
        <w:pBdr>
          <w:bottom w:val="single" w:color="D0D7DE" w:sz="6" w:space="1"/>
        </w:pBdr>
        <w:spacing w:after="160" w:before="60"/>
      </w:pPr>
    </w:p>
    <w:p>
      <w:pPr>
        <w:spacing w:after="140" w:line="276"/>
      </w:pPr>
      <w:r>
        <w:rPr>
          <w:rFonts w:ascii="Calibri" w:cs="Calibri" w:eastAsia="Calibri" w:hAnsi="Calibri"/>
          <w:i/>
          <w:iCs/>
          <w:color w:val="595959"/>
          <w:sz w:val="22"/>
          <w:szCs w:val="22"/>
        </w:rPr>
        <w:t xml:space="preserve">In one sentence: v1's headline number was measured in a way that flattered it. v2 fixes the measurement and strengthens the training recipe, and arrives at essentially the same precision and recall — except that this time the figures are independent estimates rather than an upper bound on themselves.</w:t>
      </w:r>
    </w:p>
    <w:p>
      <w:pPr>
        <w:pStyle w:val="Heading1"/>
        <w:spacing w:after="160" w:before="320"/>
      </w:pPr>
      <w:r>
        <w:rPr>
          <w:rFonts w:ascii="Calibri" w:cs="Calibri" w:eastAsia="Calibri" w:hAnsi="Calibri"/>
          <w:b/>
          <w:bCs/>
          <w:color w:val="1F4E79"/>
          <w:sz w:val="28"/>
          <w:szCs w:val="28"/>
        </w:rPr>
        <w:t xml:space="preserve">1. What the model does</w:t>
      </w:r>
    </w:p>
    <w:p>
      <w:pPr>
        <w:spacing w:after="140" w:line="276"/>
      </w:pPr>
      <w:r>
        <w:rPr>
          <w:rFonts w:ascii="Calibri" w:cs="Calibri" w:eastAsia="Calibri" w:hAnsi="Calibri"/>
          <w:sz w:val="22"/>
          <w:szCs w:val="22"/>
        </w:rPr>
        <w:t xml:space="preserve">When a citizen submits a report, the mobile app sends the photographs to the backend. The classifier returns one number per photograph — the probability that it shows a smoking violation. The backend compares that number against a confidence threshold, and accepts the report if at least one photograph clears it (screen S10).</w:t>
      </w:r>
    </w:p>
    <w:p>
      <w:pPr>
        <w:spacing w:after="140" w:line="276"/>
      </w:pPr>
      <w:r>
        <w:rPr>
          <w:rFonts w:ascii="Calibri" w:cs="Calibri" w:eastAsia="Calibri" w:hAnsi="Calibri"/>
          <w:sz w:val="22"/>
          <w:szCs w:val="22"/>
        </w:rPr>
        <w:t xml:space="preserve">So there are two things to get right, not one: the model, and the threshold it is read against.</w:t>
      </w:r>
    </w:p>
    <w:p>
      <w:pPr>
        <w:spacing w:after="100" w:line="276"/>
      </w:pPr>
      <w:r>
        <w:rPr>
          <w:rFonts w:ascii="Calibri" w:cs="Calibri" w:eastAsia="Calibri" w:hAnsi="Calibri"/>
          <w:sz w:val="22"/>
          <w:szCs w:val="22"/>
        </w:rPr>
        <w:t xml:space="preserve">Dataset used for both versions (identical, so the comparison is fair):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5560"/>
        <w:gridCol w:w="1800"/>
      </w:tblGrid>
      <w:tr>
        <w:trPr>
          <w:tblHeader/>
        </w:trPr>
        <w:tc>
          <w:tcPr>
            <w:tcW w:type="dxa" w:w="2000"/>
            <w:shd w:fill="EAF1F8" w:color="auto" w:val="clear"/>
            <w:tcMar>
              <w:top w:type="dxa" w:w="80"/>
              <w:left w:type="dxa" w:w="120"/>
              <w:bottom w:type="dxa" w:w="80"/>
              <w:right w:type="dxa" w:w="120"/>
            </w:tcMar>
          </w:tcPr>
          <w:p>
            <w:pPr>
              <w:spacing w:after="0" w:line="260"/>
            </w:pPr>
            <w:r>
              <w:rPr>
                <w:rFonts w:ascii="Calibri" w:cs="Calibri" w:eastAsia="Calibri" w:hAnsi="Calibri"/>
                <w:b/>
                <w:bCs/>
                <w:color w:val="000000"/>
                <w:sz w:val="20"/>
                <w:szCs w:val="20"/>
              </w:rPr>
              <w:t xml:space="preserve">Split</w:t>
            </w:r>
          </w:p>
        </w:tc>
        <w:tc>
          <w:tcPr>
            <w:tcW w:type="dxa" w:w="5560"/>
            <w:shd w:fill="EAF1F8" w:color="auto" w:val="clear"/>
            <w:tcMar>
              <w:top w:type="dxa" w:w="80"/>
              <w:left w:type="dxa" w:w="120"/>
              <w:bottom w:type="dxa" w:w="80"/>
              <w:right w:type="dxa" w:w="120"/>
            </w:tcMar>
          </w:tcPr>
          <w:p>
            <w:pPr>
              <w:spacing w:after="0" w:line="260"/>
            </w:pPr>
            <w:r>
              <w:rPr>
                <w:rFonts w:ascii="Calibri" w:cs="Calibri" w:eastAsia="Calibri" w:hAnsi="Calibri"/>
                <w:b/>
                <w:bCs/>
                <w:color w:val="000000"/>
                <w:sz w:val="20"/>
                <w:szCs w:val="20"/>
              </w:rPr>
              <w:t xml:space="preserve">Purpose</w:t>
            </w:r>
          </w:p>
        </w:tc>
        <w:tc>
          <w:tcPr>
            <w:tcW w:type="dxa" w:w="1800"/>
            <w:shd w:fill="EAF1F8" w:color="auto" w:val="clear"/>
            <w:tcMar>
              <w:top w:type="dxa" w:w="80"/>
              <w:left w:type="dxa" w:w="120"/>
              <w:bottom w:type="dxa" w:w="80"/>
              <w:right w:type="dxa" w:w="120"/>
            </w:tcMar>
          </w:tcPr>
          <w:p>
            <w:pPr>
              <w:spacing w:after="0" w:line="260"/>
              <w:jc w:val="right"/>
            </w:pPr>
            <w:r>
              <w:rPr>
                <w:rFonts w:ascii="Calibri" w:cs="Calibri" w:eastAsia="Calibri" w:hAnsi="Calibri"/>
                <w:b/>
                <w:bCs/>
                <w:color w:val="000000"/>
                <w:sz w:val="20"/>
                <w:szCs w:val="20"/>
              </w:rPr>
              <w:t xml:space="preserve">Images</w:t>
            </w:r>
          </w:p>
        </w:tc>
      </w:tr>
      <w:tr>
        <w:trPr>
          <w:tblHeader w:val="false"/>
        </w:trPr>
        <w:tc>
          <w:tcPr>
            <w:tcW w:type="dxa" w:w="20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Train</w:t>
            </w:r>
          </w:p>
        </w:tc>
        <w:tc>
          <w:tcPr>
            <w:tcW w:type="dxa" w:w="55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The model learns from these</w:t>
            </w:r>
          </w:p>
        </w:tc>
        <w:tc>
          <w:tcPr>
            <w:tcW w:type="dxa" w:w="18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1,358</w:t>
            </w:r>
          </w:p>
        </w:tc>
      </w:tr>
      <w:tr>
        <w:trPr>
          <w:tblHeader w:val="false"/>
        </w:trPr>
        <w:tc>
          <w:tcPr>
            <w:tcW w:type="dxa" w:w="20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Validation</w:t>
            </w:r>
          </w:p>
        </w:tc>
        <w:tc>
          <w:tcPr>
            <w:tcW w:type="dxa" w:w="55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Tuning decisions are made here</w:t>
            </w:r>
          </w:p>
        </w:tc>
        <w:tc>
          <w:tcPr>
            <w:tcW w:type="dxa" w:w="18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290</w:t>
            </w:r>
          </w:p>
        </w:tc>
      </w:tr>
      <w:tr>
        <w:trPr>
          <w:tblHeader w:val="false"/>
        </w:trPr>
        <w:tc>
          <w:tcPr>
            <w:tcW w:type="dxa" w:w="20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Test</w:t>
            </w:r>
          </w:p>
        </w:tc>
        <w:tc>
          <w:tcPr>
            <w:tcW w:type="dxa" w:w="55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Touched once, to report the final figure</w:t>
            </w:r>
          </w:p>
        </w:tc>
        <w:tc>
          <w:tcPr>
            <w:tcW w:type="dxa" w:w="18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293</w:t>
            </w:r>
          </w:p>
        </w:tc>
      </w:tr>
      <w:tr>
        <w:trPr>
          <w:tblHeader w:val="false"/>
        </w:trPr>
        <w:tc>
          <w:tcPr>
            <w:tcW w:type="dxa" w:w="20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Total</w:t>
            </w:r>
          </w:p>
        </w:tc>
        <w:tc>
          <w:tcPr>
            <w:tcW w:type="dxa" w:w="55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After removing 69 near-duplicate images</w:t>
            </w:r>
          </w:p>
        </w:tc>
        <w:tc>
          <w:tcPr>
            <w:tcW w:type="dxa" w:w="18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1,941</w:t>
            </w:r>
          </w:p>
        </w:tc>
      </w:tr>
    </w:tbl>
    <w:p>
      <w:pPr>
        <w:spacing w:after="140" w:line="276"/>
      </w:pPr>
      <w:r>
        <w:rPr>
          <w:rFonts w:ascii="Calibri" w:cs="Calibri" w:eastAsia="Calibri" w:hAnsi="Calibri"/>
          <w:color w:val="595959"/>
          <w:sz w:val="20"/>
          <w:szCs w:val="20"/>
        </w:rPr>
        <w:t xml:space="preserve">Source: the public Kaggle / Mendeley smoking vs. not-smoking corpus (CC BY 4.0). Duplicates were removed by perceptual hash, and near-identical frames were kept inside a single split, so no image in the test set has a twin in the training set.</w:t>
      </w:r>
    </w:p>
    <w:p>
      <w:pPr>
        <w:pStyle w:val="Heading1"/>
        <w:spacing w:after="160" w:before="320"/>
      </w:pPr>
      <w:r>
        <w:rPr>
          <w:rFonts w:ascii="Calibri" w:cs="Calibri" w:eastAsia="Calibri" w:hAnsi="Calibri"/>
          <w:b/>
          <w:bCs/>
          <w:color w:val="1F4E79"/>
          <w:sz w:val="28"/>
          <w:szCs w:val="28"/>
        </w:rPr>
        <w:t xml:space="preserve">2. Where v1 stood, and why it was not good enough</w:t>
      </w:r>
    </w:p>
    <w:p>
      <w:pPr>
        <w:spacing w:after="140" w:line="276"/>
      </w:pPr>
      <w:r>
        <w:rPr>
          <w:rFonts w:ascii="Calibri" w:cs="Calibri" w:eastAsia="Calibri" w:hAnsi="Calibri"/>
          <w:sz w:val="22"/>
          <w:szCs w:val="22"/>
        </w:rPr>
        <w:t xml:space="preserve">v1 reported 97.7% precision on the test set at threshold 0.70. That is a strong-looking number, and the feedback received was that the work was not yet rigorous enough. On inspection, the problem was not that precision was low — it was how the number was produced.</w:t>
      </w:r>
    </w:p>
    <w:p>
      <w:pPr>
        <w:spacing w:after="140" w:line="276"/>
      </w:pPr>
      <w:r>
        <w:rPr>
          <w:rFonts w:ascii="Calibri" w:cs="Calibri" w:eastAsia="Calibri" w:hAnsi="Calibri"/>
          <w:b/>
          <w:bCs/>
          <w:sz w:val="22"/>
          <w:szCs w:val="22"/>
        </w:rPr>
        <w:t xml:space="preserve">The threshold was chosen by looking at the test set. </w:t>
      </w:r>
      <w:r>
        <w:rPr>
          <w:rFonts w:ascii="Calibri" w:cs="Calibri" w:eastAsia="Calibri" w:hAnsi="Calibri"/>
          <w:b w:val="false"/>
          <w:bCs w:val="false"/>
          <w:i w:val="false"/>
          <w:iCs w:val="false"/>
          <w:sz w:val="22"/>
          <w:szCs w:val="22"/>
        </w:rPr>
        <w:t xml:space="preserve">The 0.70 cut-off was picked by sweeping the very same 293 test images the 97.7% was then claimed on. A threshold is a parameter fitted to data, exactly like a model weight. Fitting it on the test set and then reporting on that set measures the model on images the operating point was chosen to suit, so 97.7% is an upper bound on itself rather than an independent estimate.</w:t>
      </w:r>
    </w:p>
    <w:p>
      <w:pPr>
        <w:spacing w:after="140" w:line="276"/>
      </w:pPr>
      <w:r>
        <w:rPr>
          <w:rFonts w:ascii="Calibri" w:cs="Calibri" w:eastAsia="Calibri" w:hAnsi="Calibri"/>
          <w:b/>
          <w:bCs/>
          <w:sz w:val="22"/>
          <w:szCs w:val="22"/>
        </w:rPr>
        <w:t xml:space="preserve">Training was optimising the wrong quantity. </w:t>
      </w:r>
      <w:r>
        <w:rPr>
          <w:rFonts w:ascii="Calibri" w:cs="Calibri" w:eastAsia="Calibri" w:hAnsi="Calibri"/>
          <w:b w:val="false"/>
          <w:bCs w:val="false"/>
          <w:i w:val="false"/>
          <w:iCs w:val="false"/>
          <w:sz w:val="22"/>
          <w:szCs w:val="22"/>
        </w:rPr>
        <w:t xml:space="preserve">v1 was trained with accuracy as its metric and kept whichever checkpoint had the lowest validation loss. Neither of those is precision — which is the quantity that matters here, because a false positive sends an invalid report to enforcement with nothing downstream to catch it.</w:t>
      </w:r>
    </w:p>
    <w:p>
      <w:pPr>
        <w:spacing w:after="140" w:line="276"/>
      </w:pPr>
      <w:r>
        <w:rPr>
          <w:rFonts w:ascii="Calibri" w:cs="Calibri" w:eastAsia="Calibri" w:hAnsi="Calibri"/>
          <w:b/>
          <w:bCs/>
          <w:sz w:val="22"/>
          <w:szCs w:val="22"/>
        </w:rPr>
        <w:t xml:space="preserve">Augmentation was too light for the model and the task. </w:t>
      </w:r>
      <w:r>
        <w:rPr>
          <w:rFonts w:ascii="Calibri" w:cs="Calibri" w:eastAsia="Calibri" w:hAnsi="Calibri"/>
          <w:b w:val="false"/>
          <w:bCs w:val="false"/>
          <w:i w:val="false"/>
          <w:iCs w:val="false"/>
          <w:sz w:val="22"/>
          <w:szCs w:val="22"/>
        </w:rPr>
        <w:t xml:space="preserve">v1 used a horizontal flip plus some brightness and colour jitter. That is a CNN-era recipe; a Vision Transformer with this many parameters overfits 1,358 images through it. It also did nothing to rehearse the real-world gap — actual submissions are taken further away, with more motion blur and worse light than web-sourced photographs.</w:t>
      </w:r>
    </w:p>
    <w:p>
      <w:pPr>
        <w:pStyle w:val="Heading1"/>
        <w:spacing w:after="160" w:before="320"/>
      </w:pPr>
      <w:r>
        <w:rPr>
          <w:rFonts w:ascii="Calibri" w:cs="Calibri" w:eastAsia="Calibri" w:hAnsi="Calibri"/>
          <w:b/>
          <w:bCs/>
          <w:color w:val="1F4E79"/>
          <w:sz w:val="28"/>
          <w:szCs w:val="28"/>
        </w:rPr>
        <w:t xml:space="preserve">3. What was changed for v2</w:t>
      </w:r>
    </w:p>
    <w:p>
      <w:pPr>
        <w:spacing w:after="120" w:line="276"/>
      </w:pPr>
      <w:r>
        <w:rPr>
          <w:rFonts w:ascii="Calibri" w:cs="Calibri" w:eastAsia="Calibri" w:hAnsi="Calibri"/>
          <w:sz w:val="22"/>
          <w:szCs w:val="22"/>
        </w:rPr>
        <w:t xml:space="preserve">Four changes, all present in the training notebook and the evaluation scripts: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4200"/>
        <w:gridCol w:w="2760"/>
      </w:tblGrid>
      <w:tr>
        <w:trPr>
          <w:tblHeader/>
        </w:trPr>
        <w:tc>
          <w:tcPr>
            <w:tcW w:type="dxa" w:w="2400"/>
            <w:shd w:fill="EAF1F8" w:color="auto" w:val="clear"/>
            <w:tcMar>
              <w:top w:type="dxa" w:w="80"/>
              <w:left w:type="dxa" w:w="120"/>
              <w:bottom w:type="dxa" w:w="80"/>
              <w:right w:type="dxa" w:w="120"/>
            </w:tcMar>
          </w:tcPr>
          <w:p>
            <w:pPr>
              <w:spacing w:after="0" w:line="260"/>
            </w:pPr>
            <w:r>
              <w:rPr>
                <w:rFonts w:ascii="Calibri" w:cs="Calibri" w:eastAsia="Calibri" w:hAnsi="Calibri"/>
                <w:b/>
                <w:bCs/>
                <w:color w:val="000000"/>
                <w:sz w:val="20"/>
                <w:szCs w:val="20"/>
              </w:rPr>
              <w:t xml:space="preserve">Change</w:t>
            </w:r>
          </w:p>
        </w:tc>
        <w:tc>
          <w:tcPr>
            <w:tcW w:type="dxa" w:w="4200"/>
            <w:shd w:fill="EAF1F8" w:color="auto" w:val="clear"/>
            <w:tcMar>
              <w:top w:type="dxa" w:w="80"/>
              <w:left w:type="dxa" w:w="120"/>
              <w:bottom w:type="dxa" w:w="80"/>
              <w:right w:type="dxa" w:w="120"/>
            </w:tcMar>
          </w:tcPr>
          <w:p>
            <w:pPr>
              <w:spacing w:after="0" w:line="260"/>
            </w:pPr>
            <w:r>
              <w:rPr>
                <w:rFonts w:ascii="Calibri" w:cs="Calibri" w:eastAsia="Calibri" w:hAnsi="Calibri"/>
                <w:b/>
                <w:bCs/>
                <w:color w:val="000000"/>
                <w:sz w:val="20"/>
                <w:szCs w:val="20"/>
              </w:rPr>
              <w:t xml:space="preserve">What it means in plain terms</w:t>
            </w:r>
          </w:p>
        </w:tc>
        <w:tc>
          <w:tcPr>
            <w:tcW w:type="dxa" w:w="2760"/>
            <w:shd w:fill="EAF1F8" w:color="auto" w:val="clear"/>
            <w:tcMar>
              <w:top w:type="dxa" w:w="80"/>
              <w:left w:type="dxa" w:w="120"/>
              <w:bottom w:type="dxa" w:w="80"/>
              <w:right w:type="dxa" w:w="120"/>
            </w:tcMar>
          </w:tcPr>
          <w:p>
            <w:pPr>
              <w:spacing w:after="0" w:line="260"/>
            </w:pPr>
            <w:r>
              <w:rPr>
                <w:rFonts w:ascii="Calibri" w:cs="Calibri" w:eastAsia="Calibri" w:hAnsi="Calibri"/>
                <w:b/>
                <w:bCs/>
                <w:color w:val="000000"/>
                <w:sz w:val="20"/>
                <w:szCs w:val="20"/>
              </w:rPr>
              <w:t xml:space="preserve">Why</w:t>
            </w:r>
          </w:p>
        </w:tc>
      </w:tr>
      <w:tr>
        <w:trPr>
          <w:tblHeader w:val="false"/>
        </w:trPr>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Threshold selected on validation, reported on test</w:t>
            </w:r>
          </w:p>
        </w:tc>
        <w:tc>
          <w:tcPr>
            <w:tcW w:type="dxa" w:w="42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The cut-off is now chosen using the 290 validation images, frozen, and only then applied once to the test set.</w:t>
            </w:r>
          </w:p>
        </w:tc>
        <w:tc>
          <w:tcPr>
            <w:tcW w:type="dxa" w:w="27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Makes the reported precision an honest, independent estimate.</w:t>
            </w:r>
          </w:p>
        </w:tc>
      </w:tr>
      <w:tr>
        <w:trPr>
          <w:tblHeader w:val="false"/>
        </w:trPr>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Stronger augmentation (DeiT-style)</w:t>
            </w:r>
          </w:p>
        </w:tc>
        <w:tc>
          <w:tcPr>
            <w:tcW w:type="dxa" w:w="42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Random zoom-crops, flips, a RandAugment-style colour policy, and simulated phone-camera damage: blur, motion blur, downscaling, JPEG compression, random erasing.</w:t>
            </w:r>
          </w:p>
        </w:tc>
        <w:tc>
          <w:tcPr>
            <w:tcW w:type="dxa" w:w="27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Fights overfitting and rehearses the distance, blur and poor light of real submissions.</w:t>
            </w:r>
          </w:p>
        </w:tc>
      </w:tr>
      <w:tr>
        <w:trPr>
          <w:tblHeader w:val="false"/>
        </w:trPr>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Training now measures precision, recall and PR-AUC</w:t>
            </w:r>
          </w:p>
        </w:tc>
        <w:tc>
          <w:tcPr>
            <w:tcW w:type="dxa" w:w="42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The metrics read the smoking-class column directly, and both training stages stop early on the best PR-AUC rather than the lowest loss.</w:t>
            </w:r>
          </w:p>
        </w:tc>
        <w:tc>
          <w:tcPr>
            <w:tcW w:type="dxa" w:w="27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The checkpoint that is kept is the one that serves the actual task best.</w:t>
            </w:r>
          </w:p>
        </w:tc>
      </w:tr>
      <w:tr>
        <w:trPr>
          <w:tblHeader w:val="false"/>
        </w:trPr>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Label smoothing (0.1)</w:t>
            </w:r>
          </w:p>
        </w:tc>
        <w:tc>
          <w:tcPr>
            <w:tcW w:type="dxa" w:w="420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Targets are softened from 0/1 to 0.05/0.95 inside the loss function.</w:t>
            </w:r>
          </w:p>
        </w:tc>
        <w:tc>
          <w:tcPr>
            <w:tcW w:type="dxa" w:w="27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v1 was over-confident (average score 0.94 vs 0.06). Softer targets make the confidence shown to administrators more meaningful.</w:t>
            </w:r>
          </w:p>
        </w:tc>
      </w:tr>
    </w:tbl>
    <w:p>
      <w:pPr>
        <w:spacing w:after="140" w:line="276"/>
      </w:pPr>
      <w:r>
        <w:rPr>
          <w:rFonts w:ascii="Calibri" w:cs="Calibri" w:eastAsia="Calibri" w:hAnsi="Calibri"/>
          <w:color w:val="595959"/>
          <w:sz w:val="20"/>
          <w:szCs w:val="20"/>
        </w:rPr>
        <w:t xml:space="preserve">Everything else is unchanged and deliberately so: the same ImageNet-21k ViT-Base checkpoint, the same two-stage fine-tune (train the head with the backbone frozen, then unfreeze at a low learning rate), and the same data split. Only the listed items differ, so the comparison attributes the change to the right cause.</w:t>
      </w:r>
    </w:p>
    <w:p>
      <w:pPr>
        <w:spacing w:after="140" w:line="276"/>
      </w:pPr>
      <w:r>
        <w:rPr>
          <w:rFonts w:ascii="Calibri" w:cs="Calibri" w:eastAsia="Calibri" w:hAnsi="Calibri"/>
          <w:color w:val="595959"/>
          <w:sz w:val="20"/>
          <w:szCs w:val="20"/>
        </w:rPr>
        <w:t xml:space="preserve">Both versions are built with Keras 3 and KerasHub on TensorFlow, and exported as a single .keras file (vit-scope-v2.keras) that the backend loads at startup. KerasHub was used rather than HuggingFace Transformers because the latter has dropped TensorFlow support entirely.</w:t>
      </w:r>
    </w:p>
    <w:p>
      <w:pPr>
        <w:pStyle w:val="Heading1"/>
        <w:spacing w:after="160" w:before="320"/>
      </w:pPr>
      <w:r>
        <w:rPr>
          <w:rFonts w:ascii="Calibri" w:cs="Calibri" w:eastAsia="Calibri" w:hAnsi="Calibri"/>
          <w:b/>
          <w:bCs/>
          <w:color w:val="1F4E79"/>
          <w:sz w:val="28"/>
          <w:szCs w:val="28"/>
        </w:rPr>
        <w:t xml:space="preserve">4. Results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360"/>
        <w:gridCol w:w="3000"/>
        <w:gridCol w:w="3000"/>
      </w:tblGrid>
      <w:tr>
        <w:trPr>
          <w:tblHeader/>
        </w:trPr>
        <w:tc>
          <w:tcPr>
            <w:tcW w:type="dxa" w:w="3360"/>
            <w:shd w:fill="EAF1F8" w:color="auto" w:val="clear"/>
            <w:tcMar>
              <w:top w:type="dxa" w:w="80"/>
              <w:left w:type="dxa" w:w="120"/>
              <w:bottom w:type="dxa" w:w="80"/>
              <w:right w:type="dxa" w:w="120"/>
            </w:tcMar>
          </w:tcPr>
          <w:p>
            <w:pPr>
              <w:spacing w:after="0" w:line="260"/>
            </w:pPr>
            <w:r>
              <w:rPr>
                <w:rFonts w:ascii="Calibri" w:cs="Calibri" w:eastAsia="Calibri" w:hAnsi="Calibri"/>
                <w:b/>
                <w:bCs/>
                <w:color w:val="000000"/>
                <w:sz w:val="20"/>
                <w:szCs w:val="20"/>
              </w:rPr>
              <w:t xml:space="preserve"/>
            </w:r>
          </w:p>
        </w:tc>
        <w:tc>
          <w:tcPr>
            <w:tcW w:type="dxa" w:w="3000"/>
            <w:shd w:fill="EAF1F8" w:color="auto" w:val="clear"/>
            <w:tcMar>
              <w:top w:type="dxa" w:w="80"/>
              <w:left w:type="dxa" w:w="120"/>
              <w:bottom w:type="dxa" w:w="80"/>
              <w:right w:type="dxa" w:w="120"/>
            </w:tcMar>
          </w:tcPr>
          <w:p>
            <w:pPr>
              <w:spacing w:after="0" w:line="260"/>
              <w:jc w:val="right"/>
            </w:pPr>
            <w:r>
              <w:rPr>
                <w:rFonts w:ascii="Calibri" w:cs="Calibri" w:eastAsia="Calibri" w:hAnsi="Calibri"/>
                <w:b/>
                <w:bCs/>
                <w:color w:val="000000"/>
                <w:sz w:val="20"/>
                <w:szCs w:val="20"/>
              </w:rPr>
              <w:t xml:space="preserve">vit-scope-v1</w:t>
            </w:r>
          </w:p>
        </w:tc>
        <w:tc>
          <w:tcPr>
            <w:tcW w:type="dxa" w:w="3000"/>
            <w:shd w:fill="EAF1F8" w:color="auto" w:val="clear"/>
            <w:tcMar>
              <w:top w:type="dxa" w:w="80"/>
              <w:left w:type="dxa" w:w="120"/>
              <w:bottom w:type="dxa" w:w="80"/>
              <w:right w:type="dxa" w:w="120"/>
            </w:tcMar>
          </w:tcPr>
          <w:p>
            <w:pPr>
              <w:spacing w:after="0" w:line="260"/>
              <w:jc w:val="right"/>
            </w:pPr>
            <w:r>
              <w:rPr>
                <w:rFonts w:ascii="Calibri" w:cs="Calibri" w:eastAsia="Calibri" w:hAnsi="Calibri"/>
                <w:b/>
                <w:bCs/>
                <w:color w:val="000000"/>
                <w:sz w:val="20"/>
                <w:szCs w:val="20"/>
              </w:rPr>
              <w:t xml:space="preserve">vit-scope-v2</w:t>
            </w:r>
          </w:p>
        </w:tc>
      </w:tr>
      <w:tr>
        <w:trPr>
          <w:tblHeader w:val="false"/>
        </w:trPr>
        <w:tc>
          <w:tcPr>
            <w:tcW w:type="dxa" w:w="33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Threshold chosen on</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Test set (biased)</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Validation set (correct)</w:t>
            </w:r>
          </w:p>
        </w:tc>
      </w:tr>
      <w:tr>
        <w:trPr>
          <w:tblHeader w:val="false"/>
        </w:trPr>
        <w:tc>
          <w:tcPr>
            <w:tcW w:type="dxa" w:w="33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Threshold</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0.70</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0.63</w:t>
            </w:r>
          </w:p>
        </w:tc>
      </w:tr>
      <w:tr>
        <w:trPr>
          <w:tblHeader w:val="false"/>
        </w:trPr>
        <w:tc>
          <w:tcPr>
            <w:tcW w:type="dxa" w:w="33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Precision</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0.977</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0.970</w:t>
            </w:r>
          </w:p>
        </w:tc>
      </w:tr>
      <w:tr>
        <w:trPr>
          <w:tblHeader w:val="false"/>
        </w:trPr>
        <w:tc>
          <w:tcPr>
            <w:tcW w:type="dxa" w:w="33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Recall</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0.916</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0.923</w:t>
            </w:r>
          </w:p>
        </w:tc>
      </w:tr>
      <w:tr>
        <w:trPr>
          <w:tblHeader w:val="false"/>
        </w:trPr>
        <w:tc>
          <w:tcPr>
            <w:tcW w:type="dxa" w:w="33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F1</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0.945</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0.946</w:t>
            </w:r>
          </w:p>
        </w:tc>
      </w:tr>
      <w:tr>
        <w:trPr>
          <w:tblHeader w:val="false"/>
        </w:trPr>
        <w:tc>
          <w:tcPr>
            <w:tcW w:type="dxa" w:w="3360"/>
            <w:tcMar>
              <w:top w:type="dxa" w:w="80"/>
              <w:left w:type="dxa" w:w="120"/>
              <w:bottom w:type="dxa" w:w="80"/>
              <w:right w:type="dxa" w:w="120"/>
            </w:tcMar>
          </w:tcPr>
          <w:p>
            <w:pPr>
              <w:spacing w:after="0" w:line="260"/>
            </w:pPr>
            <w:r>
              <w:rPr>
                <w:rFonts w:ascii="Calibri" w:cs="Calibri" w:eastAsia="Calibri" w:hAnsi="Calibri"/>
                <w:b w:val="false"/>
                <w:bCs w:val="false"/>
                <w:color w:val="222222"/>
                <w:sz w:val="20"/>
                <w:szCs w:val="20"/>
              </w:rPr>
              <w:t xml:space="preserve">Confusion (293 test images)</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TP 130 · FP 3 · FN 12 · TN 148</w:t>
            </w:r>
          </w:p>
        </w:tc>
        <w:tc>
          <w:tcPr>
            <w:tcW w:type="dxa" w:w="3000"/>
            <w:tcMar>
              <w:top w:type="dxa" w:w="80"/>
              <w:left w:type="dxa" w:w="120"/>
              <w:bottom w:type="dxa" w:w="80"/>
              <w:right w:type="dxa" w:w="120"/>
            </w:tcMar>
          </w:tcPr>
          <w:p>
            <w:pPr>
              <w:spacing w:after="0" w:line="260"/>
              <w:jc w:val="right"/>
            </w:pPr>
            <w:r>
              <w:rPr>
                <w:rFonts w:ascii="Calibri" w:cs="Calibri" w:eastAsia="Calibri" w:hAnsi="Calibri"/>
                <w:b w:val="false"/>
                <w:bCs w:val="false"/>
                <w:color w:val="222222"/>
                <w:sz w:val="20"/>
                <w:szCs w:val="20"/>
              </w:rPr>
              <w:t xml:space="preserve">TP 131 · FP 4 · FN 11 · TN 147</w:t>
            </w:r>
          </w:p>
        </w:tc>
      </w:tr>
    </w:tbl>
    <w:p>
      <w:pPr>
        <w:spacing w:after="140" w:line="276"/>
      </w:pPr>
      <w:r>
        <w:rPr>
          <w:rFonts w:ascii="Calibri" w:cs="Calibri" w:eastAsia="Calibri" w:hAnsi="Calibri"/>
          <w:color w:val="595959"/>
          <w:sz w:val="20"/>
          <w:szCs w:val="20"/>
        </w:rPr>
        <w:t xml:space="preserve">v2 figures are from ml/artifacts/test_threshold_v2.txt and were re-derived independently from test_scores_backend.csv. Note that ml/README.md currently quotes different v2 numbers (precision 0.939, recall 0.979) — those are the metrics at threshold 0.38, a superseded selection, and need correcting there.</w:t>
      </w:r>
    </w:p>
    <w:p>
      <w:pPr>
        <w:spacing w:after="100" w:line="276"/>
      </w:pPr>
      <w:r>
        <w:rPr>
          <w:rFonts w:ascii="Calibri" w:cs="Calibri" w:eastAsia="Calibri" w:hAnsi="Calibri"/>
          <w:b/>
          <w:bCs/>
          <w:sz w:val="22"/>
          <w:szCs w:val="22"/>
        </w:rPr>
        <w:t xml:space="preserve">How to read this:</w:t>
      </w:r>
    </w:p>
    <w:p>
      <w:pPr>
        <w:pStyle w:val="ListParagraph"/>
        <w:numPr>
          <w:ilvl w:val="0"/>
          <w:numId w:val="2"/>
        </w:numPr>
        <w:spacing w:after="100" w:line="276"/>
      </w:pPr>
      <w:r>
        <w:rPr>
          <w:rFonts w:ascii="Calibri" w:cs="Calibri" w:eastAsia="Calibri" w:hAnsi="Calibri"/>
          <w:b/>
          <w:bCs/>
          <w:sz w:val="22"/>
          <w:szCs w:val="22"/>
        </w:rPr>
        <w:t xml:space="preserve">v2 matches v1 on the test split while being measured honestly. </w:t>
      </w:r>
      <w:r>
        <w:rPr>
          <w:rFonts w:ascii="Calibri" w:cs="Calibri" w:eastAsia="Calibri" w:hAnsi="Calibri"/>
          <w:b w:val="false"/>
          <w:bCs w:val="false"/>
          <w:sz w:val="22"/>
          <w:szCs w:val="22"/>
        </w:rPr>
        <w:t xml:space="preserve">Precision 0.970 against 0.977, recall 0.923 against 0.916, and an identical F1 to three decimal places. The headline metrics barely moved.</w:t>
      </w:r>
    </w:p>
    <w:p>
      <w:pPr>
        <w:pStyle w:val="ListParagraph"/>
        <w:numPr>
          <w:ilvl w:val="0"/>
          <w:numId w:val="2"/>
        </w:numPr>
        <w:spacing w:after="100" w:line="276"/>
      </w:pPr>
      <w:r>
        <w:rPr>
          <w:rFonts w:ascii="Calibri" w:cs="Calibri" w:eastAsia="Calibri" w:hAnsi="Calibri"/>
          <w:b/>
          <w:bCs/>
          <w:sz w:val="22"/>
          <w:szCs w:val="22"/>
        </w:rPr>
        <w:t xml:space="preserve">That is the result, and it is a good one. </w:t>
      </w:r>
      <w:r>
        <w:rPr>
          <w:rFonts w:ascii="Calibri" w:cs="Calibri" w:eastAsia="Calibri" w:hAnsi="Calibri"/>
          <w:b w:val="false"/>
          <w:bCs w:val="false"/>
          <w:sz w:val="22"/>
          <w:szCs w:val="22"/>
        </w:rPr>
        <w:t xml:space="preserve">v1's 0.977 was inflated — its threshold was fitted to the same 293 images the figure was claimed on, so the true value was always lower than printed. v2 gives up 0.007 of precision and, in exchange, every figure becomes an independent estimate that survives scrutiny.</w:t>
      </w:r>
    </w:p>
    <w:p>
      <w:pPr>
        <w:pStyle w:val="ListParagraph"/>
        <w:numPr>
          <w:ilvl w:val="0"/>
          <w:numId w:val="2"/>
        </w:numPr>
        <w:spacing w:after="100" w:line="276"/>
      </w:pPr>
      <w:r>
        <w:rPr>
          <w:rFonts w:ascii="Calibri" w:cs="Calibri" w:eastAsia="Calibri" w:hAnsi="Calibri"/>
          <w:b/>
          <w:bCs/>
          <w:sz w:val="22"/>
          <w:szCs w:val="22"/>
        </w:rPr>
        <w:t xml:space="preserve">The clearest evidence sits on the validation split, where the threshold was chosen. </w:t>
      </w:r>
      <w:r>
        <w:rPr>
          <w:rFonts w:ascii="Calibri" w:cs="Calibri" w:eastAsia="Calibri" w:hAnsi="Calibri"/>
          <w:b w:val="false"/>
          <w:bCs w:val="false"/>
          <w:sz w:val="22"/>
          <w:szCs w:val="22"/>
        </w:rPr>
        <w:t xml:space="preserve">At 0.63, v2 reached precision 0.992 with a single false positive in 149 non-violations, and only 2.00% of invalid three-photograph reports would reach enforcement — against 5.84% for v1.</w:t>
      </w:r>
    </w:p>
    <w:p>
      <w:pPr>
        <w:pStyle w:val="ListParagraph"/>
        <w:numPr>
          <w:ilvl w:val="0"/>
          <w:numId w:val="2"/>
        </w:numPr>
        <w:spacing w:after="100" w:line="276"/>
      </w:pPr>
      <w:r>
        <w:rPr>
          <w:rFonts w:ascii="Calibri" w:cs="Calibri" w:eastAsia="Calibri" w:hAnsi="Calibri"/>
          <w:b/>
          <w:bCs/>
          <w:sz w:val="22"/>
          <w:szCs w:val="22"/>
        </w:rPr>
        <w:t xml:space="preserve">The gain from v2 is method and robustness, not a bigger number. </w:t>
      </w:r>
      <w:r>
        <w:rPr>
          <w:rFonts w:ascii="Calibri" w:cs="Calibri" w:eastAsia="Calibri" w:hAnsi="Calibri"/>
          <w:b w:val="false"/>
          <w:bCs w:val="false"/>
          <w:sz w:val="22"/>
          <w:szCs w:val="22"/>
        </w:rPr>
        <w:t xml:space="preserve">Stronger augmentation, a checkpoint selected on PR-AUC rather than loss, and calibrated-by-design targets should hold up better on real phone photographs than this test set can show.</w:t>
      </w:r>
    </w:p>
    <w:p>
      <w:pPr>
        <w:spacing w:after="100" w:line="276"/>
      </w:pPr>
      <w:r>
        <w:rPr>
          <w:rFonts w:ascii="Calibri" w:cs="Calibri" w:eastAsia="Calibri" w:hAnsi="Calibri"/>
          <w:b/>
          <w:bCs/>
          <w:sz w:val="22"/>
          <w:szCs w:val="22"/>
        </w:rPr>
        <w:t xml:space="preserve">Record-keeping gaps to close before the write-up:</w:t>
      </w:r>
    </w:p>
    <w:p>
      <w:pPr>
        <w:pStyle w:val="ListParagraph"/>
        <w:numPr>
          <w:ilvl w:val="0"/>
          <w:numId w:val="2"/>
        </w:numPr>
        <w:spacing w:after="100" w:line="276"/>
      </w:pPr>
      <w:r>
        <w:rPr>
          <w:rFonts w:ascii="Calibri" w:cs="Calibri" w:eastAsia="Calibri" w:hAnsi="Calibri"/>
          <w:b/>
          <w:bCs/>
          <w:sz w:val="22"/>
          <w:szCs w:val="22"/>
        </w:rPr>
        <w:t xml:space="preserve">ml/README.md quotes the wrong v2 figures. </w:t>
      </w:r>
      <w:r>
        <w:rPr>
          <w:rFonts w:ascii="Calibri" w:cs="Calibri" w:eastAsia="Calibri" w:hAnsi="Calibri"/>
          <w:b w:val="false"/>
          <w:bCs w:val="false"/>
          <w:sz w:val="22"/>
          <w:szCs w:val="22"/>
        </w:rPr>
        <w:t xml:space="preserve">Its table gives precision 0.939 and recall 0.979, which are the metrics at threshold 0.38 — an earlier selection, superseded when the selection criterion changed to the report-level error rate. The correct figures at the frozen 0.63 are 0.970 and 0.923. The README row needs replacing, since it is the source Chapter 5 will be written from.</w:t>
      </w:r>
    </w:p>
    <w:p>
      <w:pPr>
        <w:pStyle w:val="ListParagraph"/>
        <w:numPr>
          <w:ilvl w:val="0"/>
          <w:numId w:val="2"/>
        </w:numPr>
        <w:spacing w:after="100" w:line="276"/>
      </w:pPr>
      <w:r>
        <w:rPr>
          <w:rFonts w:ascii="Calibri" w:cs="Calibri" w:eastAsia="Calibri" w:hAnsi="Calibri"/>
          <w:b/>
          <w:bCs/>
          <w:sz w:val="22"/>
          <w:szCs w:val="22"/>
        </w:rPr>
        <w:t xml:space="preserve">The PR-AUC of 0.959 in that same table is unverified. </w:t>
      </w:r>
      <w:r>
        <w:rPr>
          <w:rFonts w:ascii="Calibri" w:cs="Calibri" w:eastAsia="Calibri" w:hAnsi="Calibri"/>
          <w:b w:val="false"/>
          <w:bCs w:val="false"/>
          <w:sz w:val="22"/>
          <w:szCs w:val="22"/>
        </w:rPr>
        <w:t xml:space="preserve">No file in ml/artifacts records a PR-AUC, and 0.959 is exactly the F1 printed at threshold 0.38 — so it may be a transcription of the wrong row. PR-AUC comes from the notebook's evaluation step and should be read back from there before being quoted.</w:t>
      </w:r>
    </w:p>
    <w:p>
      <w:pPr>
        <w:pStyle w:val="ListParagraph"/>
        <w:numPr>
          <w:ilvl w:val="0"/>
          <w:numId w:val="2"/>
        </w:numPr>
        <w:spacing w:after="100" w:line="276"/>
      </w:pPr>
      <w:r>
        <w:rPr>
          <w:rFonts w:ascii="Calibri" w:cs="Calibri" w:eastAsia="Calibri" w:hAnsi="Calibri"/>
          <w:b/>
          <w:bCs/>
          <w:sz w:val="22"/>
          <w:szCs w:val="22"/>
        </w:rPr>
        <w:t xml:space="preserve">The threshold 0.63 appears in no tracked file. </w:t>
      </w:r>
      <w:r>
        <w:rPr>
          <w:rFonts w:ascii="Calibri" w:cs="Calibri" w:eastAsia="Calibri" w:hAnsi="Calibri"/>
          <w:b w:val="false"/>
          <w:bCs w:val="false"/>
          <w:sz w:val="22"/>
          <w:szCs w:val="22"/>
        </w:rPr>
        <w:t xml:space="preserve">It is set correctly in the live backend/.env, but that file is gitignored. In the repository it survives only in two commit messages, while backend/.env.example still ships v1 at 0.70.</w:t>
      </w:r>
    </w:p>
    <w:p>
      <w:pPr>
        <w:pStyle w:val="Heading1"/>
        <w:spacing w:after="160" w:before="320"/>
      </w:pPr>
      <w:r>
        <w:rPr>
          <w:rFonts w:ascii="Calibri" w:cs="Calibri" w:eastAsia="Calibri" w:hAnsi="Calibri"/>
          <w:b/>
          <w:bCs/>
          <w:color w:val="1F4E79"/>
          <w:sz w:val="28"/>
          <w:szCs w:val="28"/>
        </w:rPr>
        <w:t xml:space="preserve">5. Why precision is the metric that drives the threshold</w:t>
      </w:r>
    </w:p>
    <w:p>
      <w:pPr>
        <w:spacing w:after="100" w:line="276"/>
      </w:pPr>
      <w:r>
        <w:rPr>
          <w:rFonts w:ascii="Calibri" w:cs="Calibri" w:eastAsia="Calibri" w:hAnsi="Calibri"/>
          <w:sz w:val="22"/>
          <w:szCs w:val="22"/>
        </w:rPr>
        <w:t xml:space="preserve">The two kinds of error do not cost the same, so the threshold is not chosen to maximise accuracy or F1:</w:t>
      </w:r>
    </w:p>
    <w:p>
      <w:pPr>
        <w:pStyle w:val="ListParagraph"/>
        <w:numPr>
          <w:ilvl w:val="0"/>
          <w:numId w:val="2"/>
        </w:numPr>
        <w:spacing w:after="100" w:line="276"/>
      </w:pPr>
      <w:r>
        <w:rPr>
          <w:rFonts w:ascii="Calibri" w:cs="Calibri" w:eastAsia="Calibri" w:hAnsi="Calibri"/>
          <w:b/>
          <w:bCs/>
          <w:sz w:val="22"/>
          <w:szCs w:val="22"/>
        </w:rPr>
        <w:t xml:space="preserve">A false positive </w:t>
      </w:r>
      <w:r>
        <w:rPr>
          <w:rFonts w:ascii="Calibri" w:cs="Calibri" w:eastAsia="Calibri" w:hAnsi="Calibri"/>
          <w:b w:val="false"/>
          <w:bCs w:val="false"/>
          <w:sz w:val="22"/>
          <w:szCs w:val="22"/>
        </w:rPr>
        <w:t xml:space="preserve">forwards an invalid report to enforcement. Administrators are read-only and the AI decision is final, so nothing downstream catches it.</w:t>
      </w:r>
    </w:p>
    <w:p>
      <w:pPr>
        <w:pStyle w:val="ListParagraph"/>
        <w:numPr>
          <w:ilvl w:val="0"/>
          <w:numId w:val="2"/>
        </w:numPr>
        <w:spacing w:after="100" w:line="276"/>
      </w:pPr>
      <w:r>
        <w:rPr>
          <w:rFonts w:ascii="Calibri" w:cs="Calibri" w:eastAsia="Calibri" w:hAnsi="Calibri"/>
          <w:b/>
          <w:bCs/>
          <w:sz w:val="22"/>
          <w:szCs w:val="22"/>
        </w:rPr>
        <w:t xml:space="preserve">A false negative </w:t>
      </w:r>
      <w:r>
        <w:rPr>
          <w:rFonts w:ascii="Calibri" w:cs="Calibri" w:eastAsia="Calibri" w:hAnsi="Calibri"/>
          <w:b w:val="false"/>
          <w:bCs w:val="false"/>
          <w:sz w:val="22"/>
          <w:szCs w:val="22"/>
        </w:rPr>
        <w:t xml:space="preserve">asks the reporter to take another photograph. Annoying, but recoverable — they are standing there.</w:t>
      </w:r>
    </w:p>
    <w:p>
      <w:pPr>
        <w:spacing w:after="140" w:line="276"/>
      </w:pPr>
      <w:r>
        <w:rPr>
          <w:rFonts w:ascii="Calibri" w:cs="Calibri" w:eastAsia="Calibri" w:hAnsi="Calibri"/>
          <w:sz w:val="22"/>
          <w:szCs w:val="22"/>
        </w:rPr>
        <w:t xml:space="preserve">There is a second effect that per-photo metrics hide. A report passes when any one of up to three photographs clears the threshold, so a false positive gets three independent chances while a false negative needs all three photographs to fail. The selection script therefore reports the report-level error rate next to the per-photo one, and holds precision to a high target before maximising recall.</w:t>
      </w:r>
    </w:p>
    <w:p>
      <w:pPr>
        <w:pStyle w:val="Heading1"/>
        <w:spacing w:after="160" w:before="320"/>
      </w:pPr>
      <w:r>
        <w:rPr>
          <w:rFonts w:ascii="Calibri" w:cs="Calibri" w:eastAsia="Calibri" w:hAnsi="Calibri"/>
          <w:b/>
          <w:bCs/>
          <w:color w:val="1F4E79"/>
          <w:sz w:val="28"/>
          <w:szCs w:val="28"/>
        </w:rPr>
        <w:t xml:space="preserve">6. What is still outstanding</w:t>
      </w:r>
    </w:p>
    <w:p>
      <w:pPr>
        <w:spacing w:after="100" w:line="276"/>
      </w:pPr>
      <w:r>
        <w:rPr>
          <w:rFonts w:ascii="Calibri" w:cs="Calibri" w:eastAsia="Calibri" w:hAnsi="Calibri"/>
          <w:sz w:val="22"/>
          <w:szCs w:val="22"/>
        </w:rPr>
        <w:t xml:space="preserve">Stated plainly, so the limitations are on the record:</w:t>
      </w:r>
    </w:p>
    <w:p>
      <w:pPr>
        <w:pStyle w:val="ListParagraph"/>
        <w:numPr>
          <w:ilvl w:val="0"/>
          <w:numId w:val="2"/>
        </w:numPr>
        <w:spacing w:after="100" w:line="276"/>
      </w:pPr>
      <w:r>
        <w:rPr>
          <w:rFonts w:ascii="Calibri" w:cs="Calibri" w:eastAsia="Calibri" w:hAnsi="Calibri"/>
          <w:b/>
          <w:bCs/>
          <w:sz w:val="22"/>
          <w:szCs w:val="22"/>
        </w:rPr>
        <w:t xml:space="preserve">v2 is deployed, but only on this machine. </w:t>
      </w:r>
      <w:r>
        <w:rPr>
          <w:rFonts w:ascii="Calibri" w:cs="Calibri" w:eastAsia="Calibri" w:hAnsi="Calibri"/>
          <w:b w:val="false"/>
          <w:bCs w:val="false"/>
          <w:sz w:val="22"/>
          <w:szCs w:val="22"/>
        </w:rPr>
        <w:t xml:space="preserve">The live backend/.env serves vit-scope-v2 at 0.63. That file is gitignored, so a fresh checkout copies backend/.env.example instead — which still specifies vit-scope-v1 at 0.70 and would silently serve the old model. The template needs updating to match.</w:t>
      </w:r>
    </w:p>
    <w:p>
      <w:pPr>
        <w:pStyle w:val="ListParagraph"/>
        <w:numPr>
          <w:ilvl w:val="0"/>
          <w:numId w:val="2"/>
        </w:numPr>
        <w:spacing w:after="100" w:line="276"/>
      </w:pPr>
      <w:r>
        <w:rPr>
          <w:rFonts w:ascii="Calibri" w:cs="Calibri" w:eastAsia="Calibri" w:hAnsi="Calibri"/>
          <w:b/>
          <w:bCs/>
          <w:sz w:val="22"/>
          <w:szCs w:val="22"/>
        </w:rPr>
        <w:t xml:space="preserve">Still a single training run. </w:t>
      </w:r>
      <w:r>
        <w:rPr>
          <w:rFonts w:ascii="Calibri" w:cs="Calibri" w:eastAsia="Calibri" w:hAnsi="Calibri"/>
          <w:b w:val="false"/>
          <w:bCs w:val="false"/>
          <w:sz w:val="22"/>
          <w:szCs w:val="22"/>
        </w:rPr>
        <w:t xml:space="preserve">The seed study (three runs, mean ± standard deviation) is written and ready but has not been run. Until it is, these figures carry the variance of one run.</w:t>
      </w:r>
    </w:p>
    <w:p>
      <w:pPr>
        <w:pStyle w:val="ListParagraph"/>
        <w:numPr>
          <w:ilvl w:val="0"/>
          <w:numId w:val="2"/>
        </w:numPr>
        <w:spacing w:after="100" w:line="276"/>
      </w:pPr>
      <w:r>
        <w:rPr>
          <w:rFonts w:ascii="Calibri" w:cs="Calibri" w:eastAsia="Calibri" w:hAnsi="Calibri"/>
          <w:b/>
          <w:bCs/>
          <w:sz w:val="22"/>
          <w:szCs w:val="22"/>
        </w:rPr>
        <w:t xml:space="preserve">The test set is small. </w:t>
      </w:r>
      <w:r>
        <w:rPr>
          <w:rFonts w:ascii="Calibri" w:cs="Calibri" w:eastAsia="Calibri" w:hAnsi="Calibri"/>
          <w:b w:val="false"/>
          <w:bCs w:val="false"/>
          <w:sz w:val="22"/>
          <w:szCs w:val="22"/>
        </w:rPr>
        <w:t xml:space="preserve">With 151 non-smoking test images, the 95% confidence interval on precision is about ±0.03 regardless of seed. More seeds will not narrow that — only more labelled test data will.</w:t>
      </w:r>
    </w:p>
    <w:p>
      <w:pPr>
        <w:pStyle w:val="ListParagraph"/>
        <w:numPr>
          <w:ilvl w:val="0"/>
          <w:numId w:val="2"/>
        </w:numPr>
        <w:spacing w:after="100" w:line="276"/>
      </w:pPr>
      <w:r>
        <w:rPr>
          <w:rFonts w:ascii="Calibri" w:cs="Calibri" w:eastAsia="Calibri" w:hAnsi="Calibri"/>
          <w:b/>
          <w:bCs/>
          <w:sz w:val="22"/>
          <w:szCs w:val="22"/>
        </w:rPr>
        <w:t xml:space="preserve">Domain gap remains. </w:t>
      </w:r>
      <w:r>
        <w:rPr>
          <w:rFonts w:ascii="Calibri" w:cs="Calibri" w:eastAsia="Calibri" w:hAnsi="Calibri"/>
          <w:b w:val="false"/>
          <w:bCs w:val="false"/>
          <w:sz w:val="22"/>
          <w:szCs w:val="22"/>
        </w:rPr>
        <w:t xml:space="preserve">Training images are web photographs, not phone photos taken across a Malaysian food court. The augmentation rehearses that gap but does not remove it; measured accuracy is an upper bound on field performance.</w:t>
      </w:r>
    </w:p>
    <w:p>
      <w:pPr>
        <w:pStyle w:val="ListParagraph"/>
        <w:numPr>
          <w:ilvl w:val="0"/>
          <w:numId w:val="2"/>
        </w:numPr>
        <w:spacing w:after="100" w:line="276"/>
      </w:pPr>
      <w:r>
        <w:rPr>
          <w:rFonts w:ascii="Calibri" w:cs="Calibri" w:eastAsia="Calibri" w:hAnsi="Calibri"/>
          <w:b/>
          <w:bCs/>
          <w:sz w:val="22"/>
          <w:szCs w:val="22"/>
        </w:rPr>
        <w:t xml:space="preserve">Planned next: </w:t>
      </w:r>
      <w:r>
        <w:rPr>
          <w:rFonts w:ascii="Calibri" w:cs="Calibri" w:eastAsia="Calibri" w:hAnsi="Calibri"/>
          <w:b w:val="false"/>
          <w:bCs w:val="false"/>
          <w:sz w:val="22"/>
          <w:szCs w:val="22"/>
        </w:rPr>
        <w:t xml:space="preserve">Mixup and CutMix (the remaining half of the DeiT recipe), temperature scaling to calibrate the confidence scores shown on the dashboard, test-time augmentation, and evaluating a “2 of 3 photographs must pass” report rule.</w:t>
      </w:r>
    </w:p>
    <w:p>
      <w:pPr>
        <w:pBdr>
          <w:bottom w:val="single" w:color="D0D7DE" w:sz="6" w:space="1"/>
        </w:pBdr>
        <w:spacing w:after="160" w:before="60"/>
      </w:pPr>
    </w:p>
    <w:p>
      <w:pPr>
        <w:spacing w:after="140" w:line="276"/>
      </w:pPr>
      <w:r>
        <w:rPr>
          <w:rFonts w:ascii="Calibri" w:cs="Calibri" w:eastAsia="Calibri" w:hAnsi="Calibri"/>
          <w:i/>
          <w:iCs/>
          <w:color w:val="595959"/>
          <w:sz w:val="22"/>
          <w:szCs w:val="22"/>
        </w:rPr>
        <w:t xml:space="preserve">Headline for the discussion: the improvement from v1 to v2 is about method, not about a bigger number. Precision moved by 0.007 and recall by 0.007 — but v1's figures were fitted to the images they were claimed on, and v2's are not. The same performance, now defensible, is the result the supervisor's feedback was asking for.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 Classifier improvement from v1 to v2</dc:title>
  <dc:creator>SCOPE FYP</dc:creator>
  <cp:lastModifiedBy>Un-named</cp:lastModifiedBy>
  <cp:revision>1</cp:revision>
  <dcterms:created xsi:type="dcterms:W3CDTF">2026-09-25T03:18:39.259Z</dcterms:created>
  <dcterms:modified xsi:type="dcterms:W3CDTF">2026-09-25T03:18:39.265Z</dcterms:modified>
</cp:coreProperties>
</file>

<file path=docProps/custom.xml><?xml version="1.0" encoding="utf-8"?>
<Properties xmlns="http://schemas.openxmlformats.org/officeDocument/2006/custom-properties" xmlns:vt="http://schemas.openxmlformats.org/officeDocument/2006/docPropsVTypes"/>
</file>