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14172A"/>
          <w:sz w:val="64"/>
          <w:szCs w:val="64"/>
        </w:rPr>
        <w:t xml:space="preserve">⚗ SANDCHEMY</w:t>
      </w:r>
    </w:p>
    <w:p>
      <w:pPr>
        <w:spacing w:after="100" w:before="200"/>
        <w:jc w:val="center"/>
      </w:pPr>
      <w:r>
        <w:rPr>
          <w:b/>
          <w:bCs/>
          <w:color w:val="B8860B"/>
          <w:sz w:val="28"/>
          <w:szCs w:val="28"/>
        </w:rPr>
        <w:t xml:space="preserve">Cradle Fund CIP Spark — Pre-Seed Grant Application Brief</w:t>
      </w:r>
    </w:p>
    <w:p>
      <w:pPr>
        <w:spacing w:after="1000"/>
        <w:jc w:val="center"/>
      </w:pPr>
      <w:r>
        <w:rPr>
          <w:i/>
          <w:iCs/>
          <w:color w:val="595959"/>
          <w:sz w:val="22"/>
          <w:szCs w:val="22"/>
        </w:rPr>
        <w:t xml:space="preserve">A falling-sand physics sandbox that teaches real chemistry — free, offline-first, browser-native.</w:t>
      </w:r>
    </w:p>
    <w:p>
      <w:pPr>
        <w:spacing w:before="3200"/>
        <w:jc w:val="center"/>
      </w:pPr>
      <w:r>
        <w:rPr>
          <w:color w:val="222222"/>
          <w:sz w:val="20"/>
          <w:szCs w:val="20"/>
        </w:rPr>
        <w:t xml:space="preserve">Prepared by: Aliff Hussien (Founder)</w:t>
      </w:r>
    </w:p>
    <w:p>
      <w:pPr>
        <w:jc w:val="center"/>
      </w:pPr>
      <w:r>
        <w:rPr>
          <w:color w:val="222222"/>
          <w:sz w:val="20"/>
          <w:szCs w:val="20"/>
        </w:rPr>
        <w:t xml:space="preserve">Contact: aliff@sheikhhussien.com</w:t>
      </w:r>
    </w:p>
    <w:p>
      <w:pPr>
        <w:jc w:val="center"/>
      </w:pPr>
      <w:r>
        <w:rPr>
          <w:color w:val="222222"/>
          <w:sz w:val="20"/>
          <w:szCs w:val="20"/>
        </w:rPr>
        <w:t xml:space="preserve">Date: July 2026</w:t>
      </w:r>
    </w:p>
    <w:p>
      <w:pPr>
        <w:spacing w:before="800"/>
        <w:jc w:val="center"/>
      </w:pPr>
      <w:r>
        <w:rPr>
          <w:i/>
          <w:iCs/>
          <w:color w:val="595959"/>
          <w:sz w:val="18"/>
          <w:szCs w:val="18"/>
        </w:rPr>
        <w:t xml:space="preserve">This brief is a working draft prepared ahead of formal submission through Cradle's Grant Management System. Fields marked “to confirm” are placeholders pending team/company formation and should be finalised before submission.</w:t>
      </w:r>
    </w:p>
    <w:p>
      <w:r>
        <w:br w:type="page"/>
      </w:r>
    </w:p>
    <w:p>
      <w:pPr>
        <w:sectPr>
          <w:pgSz w:w="12240" w:h="15840" w:orient="portrait"/>
          <w:pgMar w:top="1440" w:right="1440" w:bottom="1440" w:left="1440" w:header="708" w:footer="708" w:gutter="0"/>
          <w:pgNumType/>
          <w:docGrid w:linePitch="360"/>
        </w:sectPr>
      </w:pPr>
    </w:p>
    <w:p>
      <w:pPr>
        <w:pStyle w:val="Heading1"/>
        <w:spacing w:after="160" w:before="320"/>
      </w:pPr>
      <w:r>
        <w:rPr>
          <w:b/>
          <w:bCs/>
          <w:color w:val="14172A"/>
          <w:sz w:val="30"/>
          <w:szCs w:val="30"/>
        </w:rPr>
        <w:t xml:space="preserve">1. Executive Summary</w:t>
      </w:r>
    </w:p>
    <w:p>
      <w:pPr>
        <w:spacing w:after="160" w:line="300"/>
      </w:pPr>
      <w:r>
        <w:rPr>
          <w:i w:val="false"/>
          <w:iCs w:val="false"/>
          <w:color w:val="222222"/>
          <w:sz w:val="21"/>
          <w:szCs w:val="21"/>
        </w:rPr>
        <w:t xml:space="preserve">Sandchemy is a free, offline-first falling-sand physics simulator where every reaction — heat transfer, density, chemical change — is grounded in real, sourced science rather than scripted for effect. It runs entirely in a web browser with no server, no account, and no data collection, and is installable as an offline app on any device.</w:t>
      </w:r>
    </w:p>
    <w:p>
      <w:pPr>
        <w:spacing w:after="160" w:line="300"/>
      </w:pPr>
      <w:r>
        <w:rPr>
          <w:i w:val="false"/>
          <w:iCs w:val="false"/>
          <w:color w:val="222222"/>
          <w:sz w:val="21"/>
          <w:szCs w:val="21"/>
        </w:rPr>
        <w:t xml:space="preserve">The product is a working MVP today: 56 elements across 8 categories, a custom Element Lab, a Sensor Probe for live readouts, prebuilt educational Scenarios, and a Discovery Journal that permanently records what a learner finds. It is the pre-seed, MVP-stage project CIP Spark is designed to fund into its next stage: a validated go-to-market in Malaysia's EdTech sector.</w:t>
      </w:r>
    </w:p>
    <w:p>
      <w:pPr>
        <w:spacing w:after="160" w:line="300"/>
      </w:pPr>
      <w:r>
        <w:rPr>
          <w:i w:val="false"/>
          <w:iCs w:val="false"/>
          <w:color w:val="222222"/>
          <w:sz w:val="21"/>
          <w:szCs w:val="21"/>
        </w:rPr>
        <w:t xml:space="preserve">This brief requests RM150,000 — the full CIP Spark pre-seed cap — split 60% development / 40% commercialisation, to fund a mobile app wrapper, a teacher dashboard, curriculum-aligned content, and the first three school pilots over the next 12 months.</w:t>
      </w:r>
    </w:p>
    <w:p>
      <w:pPr>
        <w:pStyle w:val="Heading1"/>
        <w:spacing w:after="160" w:before="320"/>
      </w:pPr>
      <w:r>
        <w:rPr>
          <w:b/>
          <w:bCs/>
          <w:color w:val="14172A"/>
          <w:sz w:val="30"/>
          <w:szCs w:val="30"/>
        </w:rPr>
        <w:t xml:space="preserve">2. Company &amp; Team Overview</w:t>
      </w:r>
    </w:p>
    <w:p>
      <w:pPr>
        <w:pStyle w:val="Heading2"/>
        <w:spacing w:after="120" w:before="240"/>
      </w:pPr>
      <w:r>
        <w:rPr>
          <w:b/>
          <w:bCs/>
          <w:color w:val="14172A"/>
          <w:sz w:val="24"/>
          <w:szCs w:val="24"/>
        </w:rPr>
        <w:t xml:space="preserve">2.1 Company status</w:t>
      </w:r>
    </w:p>
    <w:p>
      <w:pPr>
        <w:spacing w:after="160" w:line="300"/>
      </w:pPr>
      <w:r>
        <w:rPr>
          <w:i w:val="false"/>
          <w:iCs w:val="false"/>
          <w:color w:val="222222"/>
          <w:sz w:val="21"/>
          <w:szCs w:val="21"/>
        </w:rPr>
        <w:t xml:space="preserve">Sandchemy is currently a founder-led project, pre-incorporation. Formal company registration (Sdn Bhd, as required for CIP Sprint follow-on funding) will be completed ahead of grant disbursement, per Cradle's own process of verifying eligibility documents only after an application is shortlisted.</w:t>
      </w:r>
    </w:p>
    <w:p>
      <w:pPr>
        <w:pBdr>
          <w:left w:val="single" w:color="B8860B" w:sz="12" w:space="8"/>
        </w:pBdr>
        <w:spacing w:after="200" w:before="80"/>
        <w:ind w:left="200"/>
      </w:pPr>
      <w:r>
        <w:rPr>
          <w:i/>
          <w:iCs/>
          <w:color w:val="595959"/>
          <w:sz w:val="20"/>
          <w:szCs w:val="20"/>
        </w:rPr>
        <w:t xml:space="preserve">To confirm before submission: legal entity name and registration number, paid-up capital, and shareholding structure.</w:t>
      </w:r>
    </w:p>
    <w:p>
      <w:pPr>
        <w:pStyle w:val="Heading2"/>
        <w:spacing w:after="120" w:before="240"/>
      </w:pPr>
      <w:r>
        <w:rPr>
          <w:b/>
          <w:bCs/>
          <w:color w:val="14172A"/>
          <w:sz w:val="24"/>
          <w:szCs w:val="24"/>
        </w:rPr>
        <w:t xml:space="preserve">2.2 Team</w:t>
      </w:r>
    </w:p>
    <w:p>
      <w:pPr>
        <w:spacing w:after="160" w:line="300"/>
      </w:pPr>
      <w:r>
        <w:rPr>
          <w:i w:val="false"/>
          <w:iCs w:val="false"/>
          <w:color w:val="222222"/>
          <w:sz w:val="21"/>
          <w:szCs w:val="21"/>
        </w:rPr>
        <w:t xml:space="preserve">Aliff Hussien — Founder &amp; Builder. Designed and built Sandchemy's entire engine, content system, and UI end-to-end across 8+ shipped development phases, from an initial falling-sand prototype to an installable, real-physics sandbox with a custom element-creation tool.</w:t>
      </w:r>
    </w:p>
    <w:p>
      <w:pPr>
        <w:spacing w:after="160" w:line="300"/>
      </w:pPr>
      <w:r>
        <w:rPr>
          <w:i w:val="false"/>
          <w:iCs w:val="false"/>
          <w:color w:val="222222"/>
          <w:sz w:val="21"/>
          <w:szCs w:val="21"/>
        </w:rPr>
        <w:t xml:space="preserve">CIP Spark requires a minimum two-person team, with at least one Malaysian team member. A co-founder search is actively underway, prioritising complementary strength in education partnerships, curriculum design, and commercialisation to pair with the existing technical foundation.</w:t>
      </w:r>
    </w:p>
    <w:p>
      <w:pPr>
        <w:pBdr>
          <w:left w:val="single" w:color="B8860B" w:sz="12" w:space="8"/>
        </w:pBdr>
        <w:spacing w:after="200" w:before="80"/>
        <w:ind w:left="200"/>
      </w:pPr>
      <w:r>
        <w:rPr>
          <w:i/>
          <w:iCs/>
          <w:color w:val="595959"/>
          <w:sz w:val="20"/>
          <w:szCs w:val="20"/>
        </w:rPr>
        <w:t xml:space="preserve">To confirm before submission: second team member's name, role, nationality, and residency — required to meet CIP Spark's minimum team-size eligibility rule.</w:t>
      </w:r>
    </w:p>
    <w:p>
      <w:pPr>
        <w:pStyle w:val="Heading2"/>
        <w:spacing w:after="120" w:before="240"/>
      </w:pPr>
      <w:r>
        <w:rPr>
          <w:b/>
          <w:bCs/>
          <w:color w:val="14172A"/>
          <w:sz w:val="24"/>
          <w:szCs w:val="24"/>
        </w:rPr>
        <w:t xml:space="preserve">2.3 Intellectual property</w:t>
      </w:r>
    </w:p>
    <w:p>
      <w:pPr>
        <w:spacing w:after="160" w:line="300"/>
      </w:pPr>
      <w:r>
        <w:rPr>
          <w:i w:val="false"/>
          <w:iCs w:val="false"/>
          <w:color w:val="222222"/>
          <w:sz w:val="21"/>
          <w:szCs w:val="21"/>
        </w:rPr>
        <w:t xml:space="preserve">All code, content, and design are original work created by the founder outside of any university, employer, or third-party research context. There is no pre-existing IP entanglement — the company (once incorporated) will hold full, unencumbered ownership of the Sandchemy codebase and brand from inception.</w:t>
      </w:r>
    </w:p>
    <w:p>
      <w:pPr>
        <w:pStyle w:val="Heading1"/>
        <w:spacing w:after="160" w:before="320"/>
      </w:pPr>
      <w:r>
        <w:rPr>
          <w:b/>
          <w:bCs/>
          <w:color w:val="14172A"/>
          <w:sz w:val="30"/>
          <w:szCs w:val="30"/>
        </w:rPr>
        <w:t xml:space="preserve">3. The Problem</w:t>
      </w:r>
    </w:p>
    <w:p>
      <w:pPr>
        <w:pStyle w:val="ListParagraph"/>
        <w:numPr>
          <w:ilvl w:val="0"/>
          <w:numId w:val="1"/>
        </w:numPr>
        <w:spacing w:after="90"/>
      </w:pPr>
      <w:r>
        <w:rPr>
          <w:color w:val="222222"/>
          <w:sz w:val="21"/>
          <w:szCs w:val="21"/>
        </w:rPr>
        <w:t xml:space="preserve">Physical science labs are expensive and hazard-limited: glassware, chemicals, and heat sources carry real cost and real risk, so most schools ration hands-on lab time to a handful of sessions per year.</w:t>
      </w:r>
    </w:p>
    <w:p>
      <w:pPr>
        <w:pStyle w:val="ListParagraph"/>
        <w:numPr>
          <w:ilvl w:val="0"/>
          <w:numId w:val="1"/>
        </w:numPr>
        <w:spacing w:after="90"/>
      </w:pPr>
      <w:r>
        <w:rPr>
          <w:color w:val="222222"/>
          <w:sz w:val="21"/>
          <w:szCs w:val="21"/>
        </w:rPr>
        <w:t xml:space="preserve">Popular “elemental” sandbox and crafting games script their combinations for entertainment value — nothing is actually simulated, so there is no transferable chemistry or physics knowledge behind the experience.</w:t>
      </w:r>
    </w:p>
    <w:p>
      <w:pPr>
        <w:pStyle w:val="ListParagraph"/>
        <w:numPr>
          <w:ilvl w:val="0"/>
          <w:numId w:val="1"/>
        </w:numPr>
        <w:spacing w:after="90"/>
      </w:pPr>
      <w:r>
        <w:rPr>
          <w:color w:val="222222"/>
          <w:sz w:val="21"/>
          <w:szCs w:val="21"/>
        </w:rPr>
        <w:t xml:space="preserve">Discovery-based tools in this space (e.g. Infinite Craft-style games) wipe the player's board on refresh, giving curiosity nothing durable to hold onto — no record of what was actually learned or found.</w:t>
      </w:r>
    </w:p>
    <w:p>
      <w:pPr>
        <w:pStyle w:val="Heading1"/>
        <w:spacing w:after="160" w:before="320"/>
      </w:pPr>
      <w:r>
        <w:rPr>
          <w:b/>
          <w:bCs/>
          <w:color w:val="14172A"/>
          <w:sz w:val="30"/>
          <w:szCs w:val="30"/>
        </w:rPr>
        <w:t xml:space="preserve">4. The Solution — Product Overview</w:t>
      </w:r>
    </w:p>
    <w:p>
      <w:pPr>
        <w:spacing w:after="160" w:line="300"/>
      </w:pPr>
      <w:r>
        <w:rPr>
          <w:i w:val="false"/>
          <w:iCs w:val="false"/>
          <w:color w:val="222222"/>
          <w:sz w:val="21"/>
          <w:szCs w:val="21"/>
        </w:rPr>
        <w:t xml:space="preserve">Sandchemy simulates real heat diffusion, density-based buoyancy, and chemistry cell-by-cell on a 2D grid. Every element's melting point, boiling point, and density is a sourced real-world number (documented in the project's own SCIENCE.md reference), not an invented value chosen for effect. Pouring water on lava does not trigger a scripted animation — it produces Obsidian, because that is what genuinely happens when lava quenches rapidly.</w:t>
      </w:r>
    </w:p>
    <w:p>
      <w:pPr>
        <w:pStyle w:val="Heading2"/>
        <w:spacing w:after="120" w:before="240"/>
      </w:pPr>
      <w:r>
        <w:rPr>
          <w:b/>
          <w:bCs/>
          <w:color w:val="14172A"/>
          <w:sz w:val="24"/>
          <w:szCs w:val="24"/>
        </w:rPr>
        <w:t xml:space="preserve">4.1 What ships today (MVP)</w:t>
      </w:r>
    </w:p>
    <w:p>
      <w:pPr>
        <w:pStyle w:val="ListParagraph"/>
        <w:numPr>
          <w:ilvl w:val="0"/>
          <w:numId w:val="1"/>
        </w:numPr>
        <w:spacing w:after="90"/>
      </w:pPr>
      <w:r>
        <w:rPr>
          <w:color w:val="222222"/>
          <w:sz w:val="21"/>
          <w:szCs w:val="21"/>
        </w:rPr>
        <w:t xml:space="preserve">56 real elements across 8 categories: Basics, Metals, Gases, Chemistry, Electric, Weather, Life, and Crafting.</w:t>
      </w:r>
    </w:p>
    <w:p>
      <w:pPr>
        <w:pStyle w:val="ListParagraph"/>
        <w:numPr>
          <w:ilvl w:val="0"/>
          <w:numId w:val="1"/>
        </w:numPr>
        <w:spacing w:after="90"/>
      </w:pPr>
      <w:r>
        <w:rPr>
          <w:color w:val="222222"/>
          <w:sz w:val="21"/>
          <w:szCs w:val="21"/>
        </w:rPr>
        <w:t xml:space="preserve">Element Lab — a no-code tool for designing custom elements and reactions, exportable as a shareable text code.</w:t>
      </w:r>
    </w:p>
    <w:p>
      <w:pPr>
        <w:pStyle w:val="ListParagraph"/>
        <w:numPr>
          <w:ilvl w:val="0"/>
          <w:numId w:val="1"/>
        </w:numPr>
        <w:spacing w:after="90"/>
      </w:pPr>
      <w:r>
        <w:rPr>
          <w:color w:val="222222"/>
          <w:sz w:val="21"/>
          <w:szCs w:val="21"/>
        </w:rPr>
        <w:t xml:space="preserve">Sensor Probe — a live, hover-driven temperature/state readout for any cell on the grid.</w:t>
      </w:r>
    </w:p>
    <w:p>
      <w:pPr>
        <w:pStyle w:val="ListParagraph"/>
        <w:numPr>
          <w:ilvl w:val="0"/>
          <w:numId w:val="1"/>
        </w:numPr>
        <w:spacing w:after="90"/>
      </w:pPr>
      <w:r>
        <w:rPr>
          <w:color w:val="222222"/>
          <w:sz w:val="21"/>
          <w:szCs w:val="21"/>
        </w:rPr>
        <w:t xml:space="preserve">Prebuilt Scenarios (e.g. Volcano Eruption) for guided, ready-made experiments.</w:t>
      </w:r>
    </w:p>
    <w:p>
      <w:pPr>
        <w:pStyle w:val="ListParagraph"/>
        <w:numPr>
          <w:ilvl w:val="0"/>
          <w:numId w:val="1"/>
        </w:numPr>
        <w:spacing w:after="90"/>
      </w:pPr>
      <w:r>
        <w:rPr>
          <w:color w:val="222222"/>
          <w:sz w:val="21"/>
          <w:szCs w:val="21"/>
        </w:rPr>
        <w:t xml:space="preserve">Discovery Journal — automatically and permanently logs every new combination a player finds.</w:t>
      </w:r>
    </w:p>
    <w:p>
      <w:pPr>
        <w:pStyle w:val="ListParagraph"/>
        <w:numPr>
          <w:ilvl w:val="0"/>
          <w:numId w:val="1"/>
        </w:numPr>
        <w:spacing w:after="90"/>
      </w:pPr>
      <w:r>
        <w:rPr>
          <w:color w:val="222222"/>
          <w:sz w:val="21"/>
          <w:szCs w:val="21"/>
        </w:rPr>
        <w:t xml:space="preserve">Simplified nuclear physics: Uranium decays into Radiation; Lead genuinely shields against it — modelled safely with zero real-world hazard.</w:t>
      </w:r>
    </w:p>
    <w:p>
      <w:pPr>
        <w:pStyle w:val="ListParagraph"/>
        <w:numPr>
          <w:ilvl w:val="0"/>
          <w:numId w:val="1"/>
        </w:numPr>
        <w:spacing w:after="90"/>
      </w:pPr>
      <w:r>
        <w:rPr>
          <w:color w:val="222222"/>
          <w:sz w:val="21"/>
          <w:szCs w:val="21"/>
        </w:rPr>
        <w:t xml:space="preserve">Installable Progressive Web App (PWA): works fully offline once installed, with a guided first-run onboarding tutorial and a mobile-responsive interface.</w:t>
      </w:r>
    </w:p>
    <w:p>
      <w:pPr>
        <w:pStyle w:val="Heading2"/>
        <w:spacing w:after="120" w:before="240"/>
      </w:pPr>
      <w:r>
        <w:rPr>
          <w:b/>
          <w:bCs/>
          <w:color w:val="14172A"/>
          <w:sz w:val="24"/>
          <w:szCs w:val="24"/>
        </w:rPr>
        <w:t xml:space="preserve">4.2 Why this matters for education specifically</w:t>
      </w:r>
    </w:p>
    <w:p>
      <w:pPr>
        <w:spacing w:after="160" w:line="300"/>
      </w:pPr>
      <w:r>
        <w:rPr>
          <w:i w:val="false"/>
          <w:iCs w:val="false"/>
          <w:color w:val="222222"/>
          <w:sz w:val="21"/>
          <w:szCs w:val="21"/>
        </w:rPr>
        <w:t xml:space="preserve">No installation, account, or IT approval is required — a teacher can open a link on a shared classroom device and it simply runs. Because there is no physical cost per experiment, students can explore destructively and repeatedly (dissolving, burning, reacting) with zero material cost and zero safety incident risk. The Discovery Journal doubles as a ready-made lab notebook for lightweight assessment, and because nothing is collected or transmitted, there is no student data or privacy exposure for a school to manage.</w:t>
      </w:r>
    </w:p>
    <w:p>
      <w:pPr>
        <w:pStyle w:val="Heading1"/>
        <w:spacing w:after="160" w:before="320"/>
      </w:pPr>
      <w:r>
        <w:rPr>
          <w:b/>
          <w:bCs/>
          <w:color w:val="14172A"/>
          <w:sz w:val="30"/>
          <w:szCs w:val="30"/>
        </w:rPr>
        <w:t xml:space="preserve">5. Market Opportunity</w:t>
      </w:r>
    </w:p>
    <w:p>
      <w:pPr>
        <w:spacing w:after="160" w:line="300"/>
      </w:pPr>
      <w:r>
        <w:rPr>
          <w:i w:val="false"/>
          <w:iCs w:val="false"/>
          <w:color w:val="222222"/>
          <w:sz w:val="21"/>
          <w:szCs w:val="21"/>
        </w:rPr>
        <w:t xml:space="preserve">Malaysia's EdTech market was valued at approximately USD 1.05 billion in 2024 and is projected to reach USD 2.88 billion by 2033 (~11.8% CAGR), with growth explicitly driven by government STEM initiatives and rising adoption of gamified, digital-classroom tools in schools (IMARC Group, Malaysia EdTech Market Report). Higher education alone already accounts for 44.6% of total market value, indicating strong existing willingness to adopt digital learning tools at the tertiary level as well.</w:t>
      </w:r>
    </w:p>
    <w:p>
      <w:pPr>
        <w:spacing w:after="160" w:line="300"/>
      </w:pPr>
      <w:r>
        <w:rPr>
          <w:i w:val="false"/>
          <w:iCs w:val="false"/>
          <w:color w:val="222222"/>
          <w:sz w:val="21"/>
          <w:szCs w:val="21"/>
        </w:rPr>
        <w:t xml:space="preserve">Sandchemy is positioned to address this market with zero hardware requirement (any browser, any device) and zero recurring infrastructure cost, while retaining a second, non-EdTech distribution channel through the existing global audience for physics/chemistry sandbox games.</w:t>
      </w:r>
    </w:p>
    <w:p>
      <w:pPr>
        <w:pStyle w:val="Heading2"/>
        <w:spacing w:after="120" w:before="240"/>
      </w:pPr>
      <w:r>
        <w:rPr>
          <w:b/>
          <w:bCs/>
          <w:color w:val="14172A"/>
          <w:sz w:val="24"/>
          <w:szCs w:val="24"/>
        </w:rPr>
        <w:t xml:space="preserve">5.1 Category: Virtual Lab / Simulation-Based STEM Learning</w:t>
      </w:r>
    </w:p>
    <w:p>
      <w:pPr>
        <w:spacing w:after="160" w:line="300"/>
      </w:pPr>
      <w:r>
        <w:rPr>
          <w:i w:val="false"/>
          <w:iCs w:val="false"/>
          <w:color w:val="222222"/>
          <w:sz w:val="21"/>
          <w:szCs w:val="21"/>
        </w:rPr>
        <w:t xml:space="preserve">Beyond the Malaysia-wide EdTech figures above, Sandchemy sits inside a more specific, named global sub-segment: virtual laboratories / simulation-based STEM learning, valued at approximately USD 1.5 billion in 2024 and projected to reach USD 4.2 billion by 2033 (Business Research Insights, STEM Education Market Report). This is a defined category, not a generic “education game” claim.</w:t>
      </w:r>
    </w:p>
    <w:p>
      <w:pPr>
        <w:spacing w:after="160" w:line="300"/>
      </w:pPr>
      <w:r>
        <w:rPr>
          <w:i w:val="false"/>
          <w:iCs w:val="false"/>
          <w:color w:val="222222"/>
          <w:sz w:val="21"/>
          <w:szCs w:val="21"/>
        </w:rPr>
        <w:t xml:space="preserve">The three most-cited comparables in this category each miss a property Sandchemy combines: PhET (free, university-backed) ships fixed, single-concept simulations rather than an open sandbox; Labster and PraxiLabs are paid, institution-licensed virtual labs with no free consumer tier; and Minecraft Education is the closest sandbox by shape but its blocks are not scientifically modelled. Sandchemy is free, offline-capable, built on sourced real-world physics/chemistry data, and keeps a persistent Discovery Journal — no named comparable combines all four.</w:t>
      </w:r>
    </w:p>
    <w:p>
      <w:pPr>
        <w:spacing w:after="160" w:line="300"/>
      </w:pPr>
      <w:r>
        <w:rPr>
          <w:i w:val="false"/>
          <w:iCs w:val="false"/>
          <w:color w:val="222222"/>
          <w:sz w:val="21"/>
          <w:szCs w:val="21"/>
        </w:rPr>
        <w:t xml:space="preserve">Note: CIP Spark itself has no dedicated STEM-specific funding track — it is a general technology pre-seed grant. This category positioning is market-differentiation context for reviewers, not a claimed eligibility criterion.</w:t>
      </w:r>
    </w:p>
    <w:p>
      <w:pPr>
        <w:pStyle w:val="Heading1"/>
        <w:spacing w:after="160" w:before="320"/>
      </w:pPr>
      <w:r>
        <w:rPr>
          <w:b/>
          <w:bCs/>
          <w:color w:val="14172A"/>
          <w:sz w:val="30"/>
          <w:szCs w:val="30"/>
        </w:rPr>
        <w:t xml:space="preserve">6. Business Model</w:t>
      </w:r>
    </w:p>
    <w:p>
      <w:pPr>
        <w:spacing w:after="160" w:line="300"/>
      </w:pPr>
      <w:r>
        <w:rPr>
          <w:i w:val="false"/>
          <w:iCs w:val="false"/>
          <w:color w:val="222222"/>
          <w:sz w:val="21"/>
          <w:szCs w:val="21"/>
        </w:rPr>
        <w:t xml:space="preserve">The core sandbox will remain free indefinitely. Three credible monetisation paths are being evaluated, with grant funds allocated toward validating which converts best with real users:</w:t>
      </w:r>
    </w:p>
    <w:p>
      <w:pPr>
        <w:pStyle w:val="ListParagraph"/>
        <w:numPr>
          <w:ilvl w:val="0"/>
          <w:numId w:val="1"/>
        </w:numPr>
        <w:spacing w:after="90"/>
      </w:pPr>
      <w:r>
        <w:rPr>
          <w:color w:val="222222"/>
          <w:sz w:val="21"/>
          <w:szCs w:val="21"/>
        </w:rPr>
        <w:t xml:space="preserve">EdTech Licensing (recommended lead path): site licenses to schools/colleges — curriculum-aligned worksheet packs, LMS-friendly embeds, and a teacher dashboard built on top of the existing Discovery Journal.</w:t>
      </w:r>
    </w:p>
    <w:p>
      <w:pPr>
        <w:pStyle w:val="ListParagraph"/>
        <w:numPr>
          <w:ilvl w:val="0"/>
          <w:numId w:val="1"/>
        </w:numPr>
        <w:spacing w:after="90"/>
      </w:pPr>
      <w:r>
        <w:rPr>
          <w:color w:val="222222"/>
          <w:sz w:val="21"/>
          <w:szCs w:val="21"/>
        </w:rPr>
        <w:t xml:space="preserve">Freemium Consumer: the sandbox stays free as-is, with paid cosmetic packs, extra save slots, and “pro” tools such as additional Element Lab slots.</w:t>
      </w:r>
    </w:p>
    <w:p>
      <w:pPr>
        <w:pStyle w:val="ListParagraph"/>
        <w:numPr>
          <w:ilvl w:val="0"/>
          <w:numId w:val="1"/>
        </w:numPr>
        <w:spacing w:after="90"/>
      </w:pPr>
      <w:r>
        <w:rPr>
          <w:color w:val="222222"/>
          <w:sz w:val="21"/>
          <w:szCs w:val="21"/>
        </w:rPr>
        <w:t xml:space="preserve">Hybrid / B2B2C: free for individual learners, with a paid institutional tier bundling both licensing and premium consumer features under one subscription.</w:t>
      </w:r>
    </w:p>
    <w:p>
      <w:pPr>
        <w:pStyle w:val="Heading1"/>
        <w:spacing w:after="160" w:before="320"/>
      </w:pPr>
      <w:r>
        <w:rPr>
          <w:b/>
          <w:bCs/>
          <w:color w:val="14172A"/>
          <w:sz w:val="30"/>
          <w:szCs w:val="30"/>
        </w:rPr>
        <w:t xml:space="preserve">7. Traction &amp; 12-Month Roadmap</w:t>
      </w:r>
    </w:p>
    <w:p>
      <w:pPr>
        <w:pStyle w:val="Heading2"/>
        <w:spacing w:after="120" w:before="240"/>
      </w:pPr>
      <w:r>
        <w:rPr>
          <w:b/>
          <w:bCs/>
          <w:color w:val="14172A"/>
          <w:sz w:val="24"/>
          <w:szCs w:val="24"/>
        </w:rPr>
        <w:t xml:space="preserve">7.1 Shipped to date</w:t>
      </w:r>
    </w:p>
    <w:p>
      <w:pPr>
        <w:pStyle w:val="ListParagraph"/>
        <w:numPr>
          <w:ilvl w:val="0"/>
          <w:numId w:val="1"/>
        </w:numPr>
        <w:spacing w:after="90"/>
      </w:pPr>
      <w:r>
        <w:rPr>
          <w:color w:val="222222"/>
          <w:sz w:val="21"/>
          <w:szCs w:val="21"/>
        </w:rPr>
        <w:t xml:space="preserve">56 elements, 8 categories, all built on sourced real-world physics and chemistry data.</w:t>
      </w:r>
    </w:p>
    <w:p>
      <w:pPr>
        <w:pStyle w:val="ListParagraph"/>
        <w:numPr>
          <w:ilvl w:val="0"/>
          <w:numId w:val="1"/>
        </w:numPr>
        <w:spacing w:after="90"/>
      </w:pPr>
      <w:r>
        <w:rPr>
          <w:color w:val="222222"/>
          <w:sz w:val="21"/>
          <w:szCs w:val="21"/>
        </w:rPr>
        <w:t xml:space="preserve">Element Lab (build-your-own element/reactions) with export/import sharing codes.</w:t>
      </w:r>
    </w:p>
    <w:p>
      <w:pPr>
        <w:pStyle w:val="ListParagraph"/>
        <w:numPr>
          <w:ilvl w:val="0"/>
          <w:numId w:val="1"/>
        </w:numPr>
        <w:spacing w:after="90"/>
      </w:pPr>
      <w:r>
        <w:rPr>
          <w:color w:val="222222"/>
          <w:sz w:val="21"/>
          <w:szCs w:val="21"/>
        </w:rPr>
        <w:t xml:space="preserve">Sensor Probe, prebuilt Scenarios, Discovery Journal, and full keyboard-driven control.</w:t>
      </w:r>
    </w:p>
    <w:p>
      <w:pPr>
        <w:pStyle w:val="ListParagraph"/>
        <w:numPr>
          <w:ilvl w:val="0"/>
          <w:numId w:val="1"/>
        </w:numPr>
        <w:spacing w:after="90"/>
      </w:pPr>
      <w:r>
        <w:rPr>
          <w:color w:val="222222"/>
          <w:sz w:val="21"/>
          <w:szCs w:val="21"/>
        </w:rPr>
        <w:t xml:space="preserve">Installable offline PWA with first-run onboarding and a mobile-responsive, category-tabbed interface.</w:t>
      </w:r>
    </w:p>
    <w:p>
      <w:pPr>
        <w:pStyle w:val="Heading2"/>
        <w:spacing w:after="120" w:before="240"/>
      </w:pPr>
      <w:r>
        <w:rPr>
          <w:b/>
          <w:bCs/>
          <w:color w:val="14172A"/>
          <w:sz w:val="24"/>
          <w:szCs w:val="24"/>
        </w:rPr>
        <w:t xml:space="preserve">7.2 Roadmap funded by this grant</w:t>
      </w:r>
    </w:p>
    <w:p>
      <w:pPr>
        <w:pStyle w:val="ListParagraph"/>
        <w:numPr>
          <w:ilvl w:val="0"/>
          <w:numId w:val="1"/>
        </w:numPr>
        <w:spacing w:after="90"/>
      </w:pPr>
      <w:r>
        <w:rPr>
          <w:color w:val="222222"/>
          <w:sz w:val="21"/>
          <w:szCs w:val="21"/>
        </w:rPr>
        <w:t xml:space="preserve">Q3 2026 — Curriculum-aligned worksheet packs; first three school pilots signed.</w:t>
      </w:r>
    </w:p>
    <w:p>
      <w:pPr>
        <w:pStyle w:val="ListParagraph"/>
        <w:numPr>
          <w:ilvl w:val="0"/>
          <w:numId w:val="1"/>
        </w:numPr>
        <w:spacing w:after="90"/>
      </w:pPr>
      <w:r>
        <w:rPr>
          <w:color w:val="222222"/>
          <w:sz w:val="21"/>
          <w:szCs w:val="21"/>
        </w:rPr>
        <w:t xml:space="preserve">Q4 2026 — Teacher dashboard and classroom accounts (still zero student personal data collected).</w:t>
      </w:r>
    </w:p>
    <w:p>
      <w:pPr>
        <w:pStyle w:val="ListParagraph"/>
        <w:numPr>
          <w:ilvl w:val="0"/>
          <w:numId w:val="1"/>
        </w:numPr>
        <w:spacing w:after="90"/>
      </w:pPr>
      <w:r>
        <w:rPr>
          <w:color w:val="222222"/>
          <w:sz w:val="21"/>
          <w:szCs w:val="21"/>
        </w:rPr>
        <w:t xml:space="preserve">Q1 2027 — Native mobile app wrapper; LMS embed support.</w:t>
      </w:r>
    </w:p>
    <w:p>
      <w:pPr>
        <w:pStyle w:val="ListParagraph"/>
        <w:numPr>
          <w:ilvl w:val="0"/>
          <w:numId w:val="1"/>
        </w:numPr>
        <w:spacing w:after="90"/>
      </w:pPr>
      <w:r>
        <w:rPr>
          <w:color w:val="222222"/>
          <w:sz w:val="21"/>
          <w:szCs w:val="21"/>
        </w:rPr>
        <w:t xml:space="preserve">Q2 2027 — Public launch of the validated monetisation path; first paying customers, positioning for a CIP Sprint (seed) follow-on application.</w:t>
      </w:r>
    </w:p>
    <w:p>
      <w:pPr>
        <w:pStyle w:val="Heading1"/>
        <w:spacing w:after="160" w:before="320"/>
      </w:pPr>
      <w:r>
        <w:rPr>
          <w:b/>
          <w:bCs/>
          <w:color w:val="14172A"/>
          <w:sz w:val="30"/>
          <w:szCs w:val="30"/>
        </w:rPr>
        <w:t xml:space="preserve">8. Use of Funds — RM150,000</w:t>
      </w:r>
    </w:p>
    <w:p>
      <w:pPr>
        <w:spacing w:after="160" w:line="300"/>
      </w:pPr>
      <w:r>
        <w:rPr>
          <w:i w:val="false"/>
          <w:iCs w:val="false"/>
          <w:color w:val="222222"/>
          <w:sz w:val="21"/>
          <w:szCs w:val="21"/>
        </w:rPr>
        <w:t xml:space="preserve">Requesting the full CIP Spark pre-seed cap, allocated per CIP Spark's own rule of at least 60% developmental expenses and a maximum of 40% non-developmental/commercialisation expenses.</w:t>
      </w:r>
    </w:p>
    <w:p>
      <w:r>
        <w:br w:type="pag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50"/>
      </w:tblGrid>
      <w:tr>
        <w:trPr>
          <w:cantSplit/>
          <w:tblHeader/>
        </w:trPr>
        <w:tc>
          <w:tcPr>
            <w:tcW w:type="dxa" w:w="2200"/>
            <w:shd w:fill="2C3252" w:val="clear"/>
            <w:tcMar>
              <w:top w:type="dxa" w:w="100"/>
              <w:left w:type="dxa" w:w="120"/>
              <w:bottom w:type="dxa" w:w="100"/>
              <w:right w:type="dxa" w:w="120"/>
            </w:tcMar>
            <w:vAlign w:val="center"/>
          </w:tcPr>
          <w:p>
            <w:r>
              <w:rPr>
                <w:b/>
                <w:bCs/>
                <w:color w:val="FFFFFF"/>
                <w:sz w:val="20"/>
                <w:szCs w:val="20"/>
              </w:rPr>
              <w:t xml:space="preserve">Category</w:t>
            </w:r>
          </w:p>
        </w:tc>
        <w:tc>
          <w:tcPr>
            <w:tcW w:type="dxa" w:w="1500"/>
            <w:shd w:fill="2C3252" w:val="clear"/>
            <w:tcMar>
              <w:top w:type="dxa" w:w="100"/>
              <w:left w:type="dxa" w:w="120"/>
              <w:bottom w:type="dxa" w:w="100"/>
              <w:right w:type="dxa" w:w="120"/>
            </w:tcMar>
            <w:vAlign w:val="center"/>
          </w:tcPr>
          <w:p>
            <w:r>
              <w:rPr>
                <w:b/>
                <w:bCs/>
                <w:color w:val="FFFFFF"/>
                <w:sz w:val="20"/>
                <w:szCs w:val="20"/>
              </w:rPr>
              <w:t xml:space="preserve">Amount</w:t>
            </w:r>
          </w:p>
        </w:tc>
        <w:tc>
          <w:tcPr>
            <w:tcW w:type="dxa" w:w="5650"/>
            <w:shd w:fill="2C3252" w:val="clear"/>
            <w:tcMar>
              <w:top w:type="dxa" w:w="100"/>
              <w:left w:type="dxa" w:w="120"/>
              <w:bottom w:type="dxa" w:w="100"/>
              <w:right w:type="dxa" w:w="120"/>
            </w:tcMar>
            <w:vAlign w:val="center"/>
          </w:tcPr>
          <w:p>
            <w:r>
              <w:rPr>
                <w:b/>
                <w:bCs/>
                <w:color w:val="FFFFFF"/>
                <w:sz w:val="20"/>
                <w:szCs w:val="20"/>
              </w:rPr>
              <w:t xml:space="preserve">Breakdown</w:t>
            </w:r>
          </w:p>
        </w:tc>
      </w:tr>
      <w:tr>
        <w:trPr>
          <w:cantSplit/>
        </w:trPr>
        <w:tc>
          <w:tcPr>
            <w:tcW w:type="dxa" w:w="2200"/>
            <w:tcMar>
              <w:top w:type="dxa" w:w="100"/>
              <w:left w:type="dxa" w:w="120"/>
              <w:bottom w:type="dxa" w:w="100"/>
              <w:right w:type="dxa" w:w="120"/>
            </w:tcMar>
            <w:vAlign w:val="center"/>
          </w:tcPr>
          <w:p>
            <w:r>
              <w:rPr>
                <w:b/>
                <w:bCs/>
                <w:color w:val="222222"/>
                <w:sz w:val="20"/>
                <w:szCs w:val="20"/>
              </w:rPr>
              <w:t xml:space="preserve">Development (60%)</w:t>
            </w:r>
          </w:p>
        </w:tc>
        <w:tc>
          <w:tcPr>
            <w:tcW w:type="dxa" w:w="1500"/>
            <w:tcMar>
              <w:top w:type="dxa" w:w="100"/>
              <w:left w:type="dxa" w:w="120"/>
              <w:bottom w:type="dxa" w:w="100"/>
              <w:right w:type="dxa" w:w="120"/>
            </w:tcMar>
            <w:vAlign w:val="center"/>
          </w:tcPr>
          <w:p>
            <w:r>
              <w:rPr>
                <w:b w:val="false"/>
                <w:bCs w:val="false"/>
                <w:color w:val="222222"/>
                <w:sz w:val="20"/>
                <w:szCs w:val="20"/>
              </w:rPr>
              <w:t xml:space="preserve">RM90,000</w:t>
            </w:r>
          </w:p>
        </w:tc>
        <w:tc>
          <w:tcPr>
            <w:tcW w:type="dxa" w:w="5650"/>
            <w:tcMar>
              <w:top w:type="dxa" w:w="100"/>
              <w:left w:type="dxa" w:w="120"/>
              <w:bottom w:type="dxa" w:w="100"/>
              <w:right w:type="dxa" w:w="120"/>
            </w:tcMar>
            <w:vAlign w:val="center"/>
          </w:tcPr>
          <w:p>
            <w:r>
              <w:rPr>
                <w:b w:val="false"/>
                <w:bCs w:val="false"/>
                <w:color w:val="222222"/>
                <w:sz w:val="20"/>
                <w:szCs w:val="20"/>
              </w:rPr>
              <w:t xml:space="preserve">Mobile app wrapper, teacher dashboard, curriculum content pipeline, new element/reaction batches.</w:t>
            </w:r>
          </w:p>
        </w:tc>
      </w:tr>
      <w:tr>
        <w:trPr>
          <w:cantSplit/>
        </w:trPr>
        <w:tc>
          <w:tcPr>
            <w:tcW w:type="dxa" w:w="2200"/>
            <w:tcMar>
              <w:top w:type="dxa" w:w="100"/>
              <w:left w:type="dxa" w:w="120"/>
              <w:bottom w:type="dxa" w:w="100"/>
              <w:right w:type="dxa" w:w="120"/>
            </w:tcMar>
            <w:vAlign w:val="center"/>
          </w:tcPr>
          <w:p>
            <w:r>
              <w:rPr>
                <w:b/>
                <w:bCs/>
                <w:color w:val="222222"/>
                <w:sz w:val="20"/>
                <w:szCs w:val="20"/>
              </w:rPr>
              <w:t xml:space="preserve">Commercialisation (40%)</w:t>
            </w:r>
          </w:p>
        </w:tc>
        <w:tc>
          <w:tcPr>
            <w:tcW w:type="dxa" w:w="1500"/>
            <w:tcMar>
              <w:top w:type="dxa" w:w="100"/>
              <w:left w:type="dxa" w:w="120"/>
              <w:bottom w:type="dxa" w:w="100"/>
              <w:right w:type="dxa" w:w="120"/>
            </w:tcMar>
            <w:vAlign w:val="center"/>
          </w:tcPr>
          <w:p>
            <w:r>
              <w:rPr>
                <w:b w:val="false"/>
                <w:bCs w:val="false"/>
                <w:color w:val="222222"/>
                <w:sz w:val="20"/>
                <w:szCs w:val="20"/>
              </w:rPr>
              <w:t xml:space="preserve">RM60,000</w:t>
            </w:r>
          </w:p>
        </w:tc>
        <w:tc>
          <w:tcPr>
            <w:tcW w:type="dxa" w:w="5650"/>
            <w:tcMar>
              <w:top w:type="dxa" w:w="100"/>
              <w:left w:type="dxa" w:w="120"/>
              <w:bottom w:type="dxa" w:w="100"/>
              <w:right w:type="dxa" w:w="120"/>
            </w:tcMar>
            <w:vAlign w:val="center"/>
          </w:tcPr>
          <w:p>
            <w:r>
              <w:rPr>
                <w:b w:val="false"/>
                <w:bCs w:val="false"/>
                <w:color w:val="222222"/>
                <w:sz w:val="20"/>
                <w:szCs w:val="20"/>
              </w:rPr>
              <w:t xml:space="preserve">School pilot rollouts, teacher training materials, IP/legal setup (incorporation), marketing for public launch.</w:t>
            </w:r>
          </w:p>
        </w:tc>
      </w:tr>
      <w:tr>
        <w:trPr>
          <w:cantSplit/>
        </w:trPr>
        <w:tc>
          <w:tcPr>
            <w:tcW w:type="dxa" w:w="2200"/>
            <w:shd w:fill="F2E4B8" w:val="clear"/>
            <w:tcMar>
              <w:top w:type="dxa" w:w="100"/>
              <w:left w:type="dxa" w:w="120"/>
              <w:bottom w:type="dxa" w:w="100"/>
              <w:right w:type="dxa" w:w="120"/>
            </w:tcMar>
            <w:vAlign w:val="center"/>
          </w:tcPr>
          <w:p>
            <w:r>
              <w:rPr>
                <w:b/>
                <w:bCs/>
                <w:color w:val="222222"/>
                <w:sz w:val="20"/>
                <w:szCs w:val="20"/>
              </w:rPr>
              <w:t xml:space="preserve">Total</w:t>
            </w:r>
          </w:p>
        </w:tc>
        <w:tc>
          <w:tcPr>
            <w:tcW w:type="dxa" w:w="1500"/>
            <w:shd w:fill="F2E4B8" w:val="clear"/>
            <w:tcMar>
              <w:top w:type="dxa" w:w="100"/>
              <w:left w:type="dxa" w:w="120"/>
              <w:bottom w:type="dxa" w:w="100"/>
              <w:right w:type="dxa" w:w="120"/>
            </w:tcMar>
            <w:vAlign w:val="center"/>
          </w:tcPr>
          <w:p>
            <w:r>
              <w:rPr>
                <w:b/>
                <w:bCs/>
                <w:color w:val="222222"/>
                <w:sz w:val="20"/>
                <w:szCs w:val="20"/>
              </w:rPr>
              <w:t xml:space="preserve">RM150,000</w:t>
            </w:r>
          </w:p>
        </w:tc>
        <w:tc>
          <w:tcPr>
            <w:tcW w:type="dxa" w:w="5650"/>
            <w:shd w:fill="F2E4B8" w:val="clear"/>
            <w:tcMar>
              <w:top w:type="dxa" w:w="100"/>
              <w:left w:type="dxa" w:w="120"/>
              <w:bottom w:type="dxa" w:w="100"/>
              <w:right w:type="dxa" w:w="120"/>
            </w:tcMar>
            <w:vAlign w:val="center"/>
          </w:tcPr>
          <w:p>
            <w:r>
              <w:rPr>
                <w:b w:val="false"/>
                <w:bCs w:val="false"/>
                <w:color w:val="222222"/>
                <w:sz w:val="20"/>
                <w:szCs w:val="20"/>
              </w:rPr>
              <w:t xml:space="preserve">Full CIP Spark pre-seed cap.</w:t>
            </w:r>
          </w:p>
        </w:tc>
      </w:tr>
    </w:tbl>
    <w:p>
      <w:pPr>
        <w:spacing w:after="160" w:line="300"/>
      </w:pPr>
      <w:r>
        <w:rPr>
          <w:i w:val="false"/>
          <w:iCs w:val="false"/>
          <w:color w:val="222222"/>
          <w:sz w:val="21"/>
          <w:szCs w:val="21"/>
        </w:rPr>
        <w:t xml:space="preserve"/>
      </w:r>
    </w:p>
    <w:p>
      <w:pPr>
        <w:pStyle w:val="Heading2"/>
        <w:spacing w:after="120" w:before="240"/>
      </w:pPr>
      <w:r>
        <w:rPr>
          <w:b/>
          <w:bCs/>
          <w:color w:val="14172A"/>
          <w:sz w:val="24"/>
          <w:szCs w:val="24"/>
        </w:rPr>
        <w:t xml:space="preserve">Milestones this funding unlocks</w:t>
      </w:r>
    </w:p>
    <w:p>
      <w:pPr>
        <w:pStyle w:val="ListParagraph"/>
        <w:numPr>
          <w:ilvl w:val="0"/>
          <w:numId w:val="1"/>
        </w:numPr>
        <w:spacing w:after="90"/>
      </w:pPr>
      <w:r>
        <w:rPr>
          <w:color w:val="222222"/>
          <w:sz w:val="21"/>
          <w:szCs w:val="21"/>
        </w:rPr>
        <w:t xml:space="preserve">Three signed school pilots.</w:t>
      </w:r>
    </w:p>
    <w:p>
      <w:pPr>
        <w:pStyle w:val="ListParagraph"/>
        <w:numPr>
          <w:ilvl w:val="0"/>
          <w:numId w:val="1"/>
        </w:numPr>
        <w:spacing w:after="90"/>
      </w:pPr>
      <w:r>
        <w:rPr>
          <w:color w:val="222222"/>
          <w:sz w:val="21"/>
          <w:szCs w:val="21"/>
        </w:rPr>
        <w:t xml:space="preserve">Teacher dashboard MVP live.</w:t>
      </w:r>
    </w:p>
    <w:p>
      <w:pPr>
        <w:pStyle w:val="ListParagraph"/>
        <w:numPr>
          <w:ilvl w:val="0"/>
          <w:numId w:val="1"/>
        </w:numPr>
        <w:spacing w:after="90"/>
      </w:pPr>
      <w:r>
        <w:rPr>
          <w:color w:val="222222"/>
          <w:sz w:val="21"/>
          <w:szCs w:val="21"/>
        </w:rPr>
        <w:t xml:space="preserve">Chosen business model validated against real, paying users.</w:t>
      </w:r>
    </w:p>
    <w:p>
      <w:pPr>
        <w:pStyle w:val="ListParagraph"/>
        <w:numPr>
          <w:ilvl w:val="0"/>
          <w:numId w:val="1"/>
        </w:numPr>
        <w:spacing w:after="90"/>
      </w:pPr>
      <w:r>
        <w:rPr>
          <w:color w:val="222222"/>
          <w:sz w:val="21"/>
          <w:szCs w:val="21"/>
        </w:rPr>
        <w:t xml:space="preserve">Ready to apply for CIP Sprint (seed-stage, up to RM600,000 convertible grant) as the natural follow-on.</w:t>
      </w:r>
    </w:p>
    <w:p>
      <w:pPr>
        <w:pStyle w:val="Heading2"/>
        <w:spacing w:after="120" w:before="240"/>
      </w:pPr>
      <w:r>
        <w:rPr>
          <w:b/>
          <w:bCs/>
          <w:color w:val="14172A"/>
          <w:sz w:val="24"/>
          <w:szCs w:val="24"/>
        </w:rPr>
        <w:t xml:space="preserve">8.1 Broader Funding Roadmap (Beyond CIP Spark)</w:t>
      </w:r>
    </w:p>
    <w:p>
      <w:pPr>
        <w:spacing w:after="160" w:line="300"/>
      </w:pPr>
      <w:r>
        <w:rPr>
          <w:i w:val="false"/>
          <w:iCs w:val="false"/>
          <w:color w:val="222222"/>
          <w:sz w:val="21"/>
          <w:szCs w:val="21"/>
        </w:rPr>
        <w:t xml:space="preserve">CIP Spark is the lead application, but it is being pursued alongside — not instead of — the following, chosen for fit at the project's current stage or as a deliberate near-term follow-on. Eligibility is self-assessed against each programme's public criteria as of July 2026 and should be re-confirmed directly with each funder before applying.</w:t>
      </w:r>
    </w:p>
    <w:p>
      <w:pPr>
        <w:pStyle w:val="ListParagraph"/>
        <w:numPr>
          <w:ilvl w:val="0"/>
          <w:numId w:val="1"/>
        </w:numPr>
        <w:spacing w:after="90"/>
      </w:pPr>
      <w:r>
        <w:rPr>
          <w:b/>
          <w:bCs/>
          <w:color w:val="222222"/>
          <w:sz w:val="21"/>
          <w:szCs w:val="21"/>
        </w:rPr>
        <w:t xml:space="preserve">Yayasan PETRONAS — STEM Education Grant, up to RM1,000,000 over 3 years (apply now, in parallel): </w:t>
      </w:r>
      <w:r>
        <w:rPr>
          <w:color w:val="222222"/>
          <w:sz w:val="21"/>
          <w:szCs w:val="21"/>
        </w:rPr>
        <w:t xml:space="preserve">a CSR-style grant with no paid-up capital or company-age requirement, so it does not wait on incorporation the way SME/tech grants do.</w:t>
      </w:r>
    </w:p>
    <w:p>
      <w:pPr>
        <w:pStyle w:val="ListParagraph"/>
        <w:numPr>
          <w:ilvl w:val="0"/>
          <w:numId w:val="1"/>
        </w:numPr>
        <w:spacing w:after="90"/>
      </w:pPr>
      <w:r>
        <w:rPr>
          <w:b/>
          <w:bCs/>
          <w:color w:val="222222"/>
          <w:sz w:val="21"/>
          <w:szCs w:val="21"/>
        </w:rPr>
        <w:t xml:space="preserve">Cradle CIP Sprint — up to RM600,000, conditional/convertible (follow-on): </w:t>
      </w:r>
      <w:r>
        <w:rPr>
          <w:color w:val="222222"/>
          <w:sz w:val="21"/>
          <w:szCs w:val="21"/>
        </w:rPr>
        <w:t xml:space="preserve">Cradle's own next stage after CIP Spark; the natural seed-stage step once the company is formally incorporated.</w:t>
      </w:r>
    </w:p>
    <w:p>
      <w:pPr>
        <w:pStyle w:val="ListParagraph"/>
        <w:numPr>
          <w:ilvl w:val="0"/>
          <w:numId w:val="1"/>
        </w:numPr>
        <w:spacing w:after="90"/>
      </w:pPr>
      <w:r>
        <w:rPr>
          <w:b/>
          <w:bCs/>
          <w:color w:val="222222"/>
          <w:sz w:val="21"/>
          <w:szCs w:val="21"/>
        </w:rPr>
        <w:t xml:space="preserve">MRANTI Strategic Research Fund (SRF) — R&amp;D grant under Dana PEMACU MOSTI (follow-on): </w:t>
      </w:r>
      <w:r>
        <w:rPr>
          <w:color w:val="222222"/>
          <w:sz w:val="21"/>
          <w:szCs w:val="21"/>
        </w:rPr>
        <w:t xml:space="preserve">requires SSM company registration, RM10,000 minimum paid-up capital, and two directors — targeted for right after incorporation.</w:t>
      </w:r>
    </w:p>
    <w:p>
      <w:pPr>
        <w:pStyle w:val="ListParagraph"/>
        <w:numPr>
          <w:ilvl w:val="0"/>
          <w:numId w:val="1"/>
        </w:numPr>
        <w:spacing w:after="90"/>
      </w:pPr>
      <w:r>
        <w:rPr>
          <w:b/>
          <w:bCs/>
          <w:color w:val="222222"/>
          <w:sz w:val="21"/>
          <w:szCs w:val="21"/>
        </w:rPr>
        <w:t xml:space="preserve">TalentCorp LiKES (Internship Placement Matching Grant) — RM2,000 per intern (later): </w:t>
      </w:r>
      <w:r>
        <w:rPr>
          <w:color w:val="222222"/>
          <w:sz w:val="21"/>
          <w:szCs w:val="21"/>
        </w:rPr>
        <w:t xml:space="preserve">relevant once curriculum/content work scales to paid interns, not a pre-seed priority.</w:t>
      </w:r>
    </w:p>
    <w:p>
      <w:pPr>
        <w:pStyle w:val="ListParagraph"/>
        <w:numPr>
          <w:ilvl w:val="0"/>
          <w:numId w:val="1"/>
        </w:numPr>
        <w:spacing w:after="90"/>
      </w:pPr>
      <w:r>
        <w:rPr>
          <w:b/>
          <w:bCs/>
          <w:color w:val="222222"/>
          <w:sz w:val="21"/>
          <w:szCs w:val="21"/>
        </w:rPr>
        <w:t xml:space="preserve">MDEC Malaysia Digital Catalyst Grant (MDCG) — up to RM1,000,000, co-funded (later, growth-stage): </w:t>
      </w:r>
      <w:r>
        <w:rPr>
          <w:color w:val="222222"/>
          <w:sz w:val="21"/>
          <w:szCs w:val="21"/>
        </w:rPr>
        <w:t xml:space="preserve">requires RM500,000 minimum paid-up capital and at least one year of operating history — explicitly out of reach at pre-seed, tracked as a future target only.</w:t>
      </w:r>
    </w:p>
    <w:p>
      <w:pPr>
        <w:pStyle w:val="Heading1"/>
        <w:spacing w:after="160" w:before="320"/>
      </w:pPr>
      <w:r>
        <w:rPr>
          <w:b/>
          <w:bCs/>
          <w:color w:val="14172A"/>
          <w:sz w:val="30"/>
          <w:szCs w:val="30"/>
        </w:rPr>
        <w:t xml:space="preserve">9. CIP Spark Eligibility Self-Assessment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1700"/>
        <w:gridCol w:w="3450"/>
      </w:tblGrid>
      <w:tr>
        <w:trPr>
          <w:tblHeader/>
        </w:trPr>
        <w:tc>
          <w:tcPr>
            <w:tcW w:type="dxa" w:w="4200"/>
            <w:shd w:fill="2C3252" w:val="clear"/>
            <w:tcMar>
              <w:top w:type="dxa" w:w="100"/>
              <w:left w:type="dxa" w:w="120"/>
              <w:bottom w:type="dxa" w:w="100"/>
              <w:right w:type="dxa" w:w="120"/>
            </w:tcMar>
            <w:vAlign w:val="center"/>
          </w:tcPr>
          <w:p>
            <w:r>
              <w:rPr>
                <w:b/>
                <w:bCs/>
                <w:color w:val="FFFFFF"/>
                <w:sz w:val="20"/>
                <w:szCs w:val="20"/>
              </w:rPr>
              <w:t xml:space="preserve">CIP Spark Criterion</w:t>
            </w:r>
          </w:p>
        </w:tc>
        <w:tc>
          <w:tcPr>
            <w:tcW w:type="dxa" w:w="1700"/>
            <w:shd w:fill="2C3252" w:val="clear"/>
            <w:tcMar>
              <w:top w:type="dxa" w:w="100"/>
              <w:left w:type="dxa" w:w="120"/>
              <w:bottom w:type="dxa" w:w="100"/>
              <w:right w:type="dxa" w:w="120"/>
            </w:tcMar>
            <w:vAlign w:val="center"/>
          </w:tcPr>
          <w:p>
            <w:r>
              <w:rPr>
                <w:b/>
                <w:bCs/>
                <w:color w:val="FFFFFF"/>
                <w:sz w:val="20"/>
                <w:szCs w:val="20"/>
              </w:rPr>
              <w:t xml:space="preserve">Status</w:t>
            </w:r>
          </w:p>
        </w:tc>
        <w:tc>
          <w:tcPr>
            <w:tcW w:type="dxa" w:w="3450"/>
            <w:shd w:fill="2C3252" w:val="clear"/>
            <w:tcMar>
              <w:top w:type="dxa" w:w="100"/>
              <w:left w:type="dxa" w:w="120"/>
              <w:bottom w:type="dxa" w:w="100"/>
              <w:right w:type="dxa" w:w="120"/>
            </w:tcMar>
            <w:vAlign w:val="center"/>
          </w:tcPr>
          <w:p>
            <w:r>
              <w:rPr>
                <w:b/>
                <w:bCs/>
                <w:color w:val="FFFFFF"/>
                <w:sz w:val="20"/>
                <w:szCs w:val="20"/>
              </w:rPr>
              <w:t xml:space="preserve">Notes</w:t>
            </w:r>
          </w:p>
        </w:tc>
      </w:tr>
      <w:tr>
        <w:trPr>
          <w:cantSplit/>
        </w:trPr>
        <w:tc>
          <w:tcPr>
            <w:tcW w:type="dxa" w:w="4200"/>
            <w:tcMar>
              <w:top w:type="dxa" w:w="100"/>
              <w:left w:type="dxa" w:w="120"/>
              <w:bottom w:type="dxa" w:w="100"/>
              <w:right w:type="dxa" w:w="120"/>
            </w:tcMar>
            <w:vAlign w:val="center"/>
          </w:tcPr>
          <w:p>
            <w:r>
              <w:rPr>
                <w:b w:val="false"/>
                <w:bCs w:val="false"/>
                <w:color w:val="222222"/>
                <w:sz w:val="20"/>
                <w:szCs w:val="20"/>
              </w:rPr>
              <w:t xml:space="preserve">Company ≤ 5 years old</w:t>
            </w:r>
          </w:p>
        </w:tc>
        <w:tc>
          <w:tcPr>
            <w:tcW w:type="dxa" w:w="1700"/>
            <w:shd w:fill="E2F0D9" w:val="clear"/>
            <w:tcMar>
              <w:top w:type="dxa" w:w="100"/>
              <w:left w:type="dxa" w:w="120"/>
              <w:bottom w:type="dxa" w:w="100"/>
              <w:right w:type="dxa" w:w="120"/>
            </w:tcMar>
            <w:vAlign w:val="center"/>
          </w:tcPr>
          <w:p>
            <w:r>
              <w:rPr>
                <w:b w:val="false"/>
                <w:bCs w:val="false"/>
                <w:color w:val="222222"/>
                <w:sz w:val="20"/>
                <w:szCs w:val="20"/>
              </w:rPr>
              <w:t xml:space="preserve">Meets</w:t>
            </w:r>
          </w:p>
        </w:tc>
        <w:tc>
          <w:tcPr>
            <w:tcW w:type="dxa" w:w="3450"/>
            <w:tcMar>
              <w:top w:type="dxa" w:w="100"/>
              <w:left w:type="dxa" w:w="120"/>
              <w:bottom w:type="dxa" w:w="100"/>
              <w:right w:type="dxa" w:w="120"/>
            </w:tcMar>
            <w:vAlign w:val="center"/>
          </w:tcPr>
          <w:p>
            <w:r>
              <w:rPr>
                <w:b w:val="false"/>
                <w:bCs w:val="false"/>
                <w:color w:val="222222"/>
                <w:sz w:val="20"/>
                <w:szCs w:val="20"/>
              </w:rPr>
              <w:t xml:space="preserve">Pre-incorporation; will be newly formed.</w:t>
            </w:r>
          </w:p>
        </w:tc>
      </w:tr>
      <w:tr>
        <w:trPr>
          <w:cantSplit/>
        </w:trPr>
        <w:tc>
          <w:tcPr>
            <w:tcW w:type="dxa" w:w="4200"/>
            <w:tcMar>
              <w:top w:type="dxa" w:w="100"/>
              <w:left w:type="dxa" w:w="120"/>
              <w:bottom w:type="dxa" w:w="100"/>
              <w:right w:type="dxa" w:w="120"/>
            </w:tcMar>
            <w:vAlign w:val="center"/>
          </w:tcPr>
          <w:p>
            <w:r>
              <w:rPr>
                <w:b w:val="false"/>
                <w:bCs w:val="false"/>
                <w:color w:val="222222"/>
                <w:sz w:val="20"/>
                <w:szCs w:val="20"/>
              </w:rPr>
              <w:t xml:space="preserve">Accumulated revenue ≤ RM3,000,000</w:t>
            </w:r>
          </w:p>
        </w:tc>
        <w:tc>
          <w:tcPr>
            <w:tcW w:type="dxa" w:w="1700"/>
            <w:shd w:fill="E2F0D9" w:val="clear"/>
            <w:tcMar>
              <w:top w:type="dxa" w:w="100"/>
              <w:left w:type="dxa" w:w="120"/>
              <w:bottom w:type="dxa" w:w="100"/>
              <w:right w:type="dxa" w:w="120"/>
            </w:tcMar>
            <w:vAlign w:val="center"/>
          </w:tcPr>
          <w:p>
            <w:r>
              <w:rPr>
                <w:b w:val="false"/>
                <w:bCs w:val="false"/>
                <w:color w:val="222222"/>
                <w:sz w:val="20"/>
                <w:szCs w:val="20"/>
              </w:rPr>
              <w:t xml:space="preserve">Meets</w:t>
            </w:r>
          </w:p>
        </w:tc>
        <w:tc>
          <w:tcPr>
            <w:tcW w:type="dxa" w:w="3450"/>
            <w:tcMar>
              <w:top w:type="dxa" w:w="100"/>
              <w:left w:type="dxa" w:w="120"/>
              <w:bottom w:type="dxa" w:w="100"/>
              <w:right w:type="dxa" w:w="120"/>
            </w:tcMar>
            <w:vAlign w:val="center"/>
          </w:tcPr>
          <w:p>
            <w:r>
              <w:rPr>
                <w:b w:val="false"/>
                <w:bCs w:val="false"/>
                <w:color w:val="222222"/>
                <w:sz w:val="20"/>
                <w:szCs w:val="20"/>
              </w:rPr>
              <w:t xml:space="preserve">Pre-revenue.</w:t>
            </w:r>
          </w:p>
        </w:tc>
      </w:tr>
      <w:tr>
        <w:trPr>
          <w:cantSplit/>
        </w:trPr>
        <w:tc>
          <w:tcPr>
            <w:tcW w:type="dxa" w:w="4200"/>
            <w:tcMar>
              <w:top w:type="dxa" w:w="100"/>
              <w:left w:type="dxa" w:w="120"/>
              <w:bottom w:type="dxa" w:w="100"/>
              <w:right w:type="dxa" w:w="120"/>
            </w:tcMar>
            <w:vAlign w:val="center"/>
          </w:tcPr>
          <w:p>
            <w:r>
              <w:rPr>
                <w:b w:val="false"/>
                <w:bCs w:val="false"/>
                <w:color w:val="222222"/>
                <w:sz w:val="20"/>
                <w:szCs w:val="20"/>
              </w:rPr>
              <w:t xml:space="preserve">Minimum 2-person team, ≥1 Malaysian resident in Malaysia</w:t>
            </w:r>
          </w:p>
        </w:tc>
        <w:tc>
          <w:tcPr>
            <w:tcW w:type="dxa" w:w="1700"/>
            <w:shd w:fill="FCE8B2" w:val="clear"/>
            <w:tcMar>
              <w:top w:type="dxa" w:w="100"/>
              <w:left w:type="dxa" w:w="120"/>
              <w:bottom w:type="dxa" w:w="100"/>
              <w:right w:type="dxa" w:w="120"/>
            </w:tcMar>
            <w:vAlign w:val="center"/>
          </w:tcPr>
          <w:p>
            <w:r>
              <w:rPr>
                <w:b w:val="false"/>
                <w:bCs w:val="false"/>
                <w:color w:val="222222"/>
                <w:sz w:val="20"/>
                <w:szCs w:val="20"/>
              </w:rPr>
              <w:t xml:space="preserve">In progress</w:t>
            </w:r>
          </w:p>
        </w:tc>
        <w:tc>
          <w:tcPr>
            <w:tcW w:type="dxa" w:w="3450"/>
            <w:tcMar>
              <w:top w:type="dxa" w:w="100"/>
              <w:left w:type="dxa" w:w="120"/>
              <w:bottom w:type="dxa" w:w="100"/>
              <w:right w:type="dxa" w:w="120"/>
            </w:tcMar>
            <w:vAlign w:val="center"/>
          </w:tcPr>
          <w:p>
            <w:r>
              <w:rPr>
                <w:b w:val="false"/>
                <w:bCs w:val="false"/>
                <w:color w:val="222222"/>
                <w:sz w:val="20"/>
                <w:szCs w:val="20"/>
              </w:rPr>
              <w:t xml:space="preserve">Founder is Malaysian and Malaysia-based; co-founder search underway.</w:t>
            </w:r>
          </w:p>
        </w:tc>
      </w:tr>
      <w:tr>
        <w:trPr>
          <w:cantSplit/>
        </w:trPr>
        <w:tc>
          <w:tcPr>
            <w:tcW w:type="dxa" w:w="4200"/>
            <w:tcMar>
              <w:top w:type="dxa" w:w="100"/>
              <w:left w:type="dxa" w:w="120"/>
              <w:bottom w:type="dxa" w:w="100"/>
              <w:right w:type="dxa" w:w="120"/>
            </w:tcMar>
            <w:vAlign w:val="center"/>
          </w:tcPr>
          <w:p>
            <w:r>
              <w:rPr>
                <w:b w:val="false"/>
                <w:bCs w:val="false"/>
                <w:color w:val="222222"/>
                <w:sz w:val="20"/>
                <w:szCs w:val="20"/>
              </w:rPr>
              <w:t xml:space="preserve">Company owns the IP</w:t>
            </w:r>
          </w:p>
        </w:tc>
        <w:tc>
          <w:tcPr>
            <w:tcW w:type="dxa" w:w="1700"/>
            <w:shd w:fill="E2F0D9" w:val="clear"/>
            <w:tcMar>
              <w:top w:type="dxa" w:w="100"/>
              <w:left w:type="dxa" w:w="120"/>
              <w:bottom w:type="dxa" w:w="100"/>
              <w:right w:type="dxa" w:w="120"/>
            </w:tcMar>
            <w:vAlign w:val="center"/>
          </w:tcPr>
          <w:p>
            <w:r>
              <w:rPr>
                <w:b w:val="false"/>
                <w:bCs w:val="false"/>
                <w:color w:val="222222"/>
                <w:sz w:val="20"/>
                <w:szCs w:val="20"/>
              </w:rPr>
              <w:t xml:space="preserve">Meets</w:t>
            </w:r>
          </w:p>
        </w:tc>
        <w:tc>
          <w:tcPr>
            <w:tcW w:type="dxa" w:w="3450"/>
            <w:tcMar>
              <w:top w:type="dxa" w:w="100"/>
              <w:left w:type="dxa" w:w="120"/>
              <w:bottom w:type="dxa" w:w="100"/>
              <w:right w:type="dxa" w:w="120"/>
            </w:tcMar>
            <w:vAlign w:val="center"/>
          </w:tcPr>
          <w:p>
            <w:r>
              <w:rPr>
                <w:b w:val="false"/>
                <w:bCs w:val="false"/>
                <w:color w:val="222222"/>
                <w:sz w:val="20"/>
                <w:szCs w:val="20"/>
              </w:rPr>
              <w:t xml:space="preserve">Founder-owned original work; no university/employer entanglement.</w:t>
            </w:r>
          </w:p>
        </w:tc>
      </w:tr>
      <w:tr>
        <w:trPr>
          <w:cantSplit/>
        </w:trPr>
        <w:tc>
          <w:tcPr>
            <w:tcW w:type="dxa" w:w="4200"/>
            <w:tcMar>
              <w:top w:type="dxa" w:w="100"/>
              <w:left w:type="dxa" w:w="120"/>
              <w:bottom w:type="dxa" w:w="100"/>
              <w:right w:type="dxa" w:w="120"/>
            </w:tcMar>
            <w:vAlign w:val="center"/>
          </w:tcPr>
          <w:p>
            <w:r>
              <w:rPr>
                <w:b w:val="false"/>
                <w:bCs w:val="false"/>
                <w:color w:val="222222"/>
                <w:sz w:val="20"/>
                <w:szCs w:val="20"/>
              </w:rPr>
              <w:t xml:space="preserve">Malaysian ownership ≥51% (or majority Malaysian employees)</w:t>
            </w:r>
          </w:p>
        </w:tc>
        <w:tc>
          <w:tcPr>
            <w:tcW w:type="dxa" w:w="1700"/>
            <w:shd w:fill="E2F0D9" w:val="clear"/>
            <w:tcMar>
              <w:top w:type="dxa" w:w="100"/>
              <w:left w:type="dxa" w:w="120"/>
              <w:bottom w:type="dxa" w:w="100"/>
              <w:right w:type="dxa" w:w="120"/>
            </w:tcMar>
            <w:vAlign w:val="center"/>
          </w:tcPr>
          <w:p>
            <w:r>
              <w:rPr>
                <w:b w:val="false"/>
                <w:bCs w:val="false"/>
                <w:color w:val="222222"/>
                <w:sz w:val="20"/>
                <w:szCs w:val="20"/>
              </w:rPr>
              <w:t xml:space="preserve">Meets</w:t>
            </w:r>
          </w:p>
        </w:tc>
        <w:tc>
          <w:tcPr>
            <w:tcW w:type="dxa" w:w="3450"/>
            <w:tcMar>
              <w:top w:type="dxa" w:w="100"/>
              <w:left w:type="dxa" w:w="120"/>
              <w:bottom w:type="dxa" w:w="100"/>
              <w:right w:type="dxa" w:w="120"/>
            </w:tcMar>
            <w:vAlign w:val="center"/>
          </w:tcPr>
          <w:p>
            <w:r>
              <w:rPr>
                <w:b w:val="false"/>
                <w:bCs w:val="false"/>
                <w:color w:val="222222"/>
                <w:sz w:val="20"/>
                <w:szCs w:val="20"/>
              </w:rPr>
              <w:t xml:space="preserve">100% Malaysian-owned at present.</w:t>
            </w:r>
          </w:p>
        </w:tc>
      </w:tr>
      <w:tr>
        <w:trPr>
          <w:cantSplit/>
        </w:trPr>
        <w:tc>
          <w:tcPr>
            <w:tcW w:type="dxa" w:w="4200"/>
            <w:tcMar>
              <w:top w:type="dxa" w:w="100"/>
              <w:left w:type="dxa" w:w="120"/>
              <w:bottom w:type="dxa" w:w="100"/>
              <w:right w:type="dxa" w:w="120"/>
            </w:tcMar>
            <w:vAlign w:val="center"/>
          </w:tcPr>
          <w:p>
            <w:r>
              <w:rPr>
                <w:b w:val="false"/>
                <w:bCs w:val="false"/>
                <w:color w:val="222222"/>
                <w:sz w:val="20"/>
                <w:szCs w:val="20"/>
              </w:rPr>
              <w:t xml:space="preserve">Pitch deck prepared per Cradle's template</w:t>
            </w:r>
          </w:p>
        </w:tc>
        <w:tc>
          <w:tcPr>
            <w:tcW w:type="dxa" w:w="1700"/>
            <w:shd w:fill="E2F0D9" w:val="clear"/>
            <w:tcMar>
              <w:top w:type="dxa" w:w="100"/>
              <w:left w:type="dxa" w:w="120"/>
              <w:bottom w:type="dxa" w:w="100"/>
              <w:right w:type="dxa" w:w="120"/>
            </w:tcMar>
            <w:vAlign w:val="center"/>
          </w:tcPr>
          <w:p>
            <w:r>
              <w:rPr>
                <w:b w:val="false"/>
                <w:bCs w:val="false"/>
                <w:color w:val="222222"/>
                <w:sz w:val="20"/>
                <w:szCs w:val="20"/>
              </w:rPr>
              <w:t xml:space="preserve">Meets</w:t>
            </w:r>
          </w:p>
        </w:tc>
        <w:tc>
          <w:tcPr>
            <w:tcW w:type="dxa" w:w="3450"/>
            <w:tcMar>
              <w:top w:type="dxa" w:w="100"/>
              <w:left w:type="dxa" w:w="120"/>
              <w:bottom w:type="dxa" w:w="100"/>
              <w:right w:type="dxa" w:w="120"/>
            </w:tcMar>
            <w:vAlign w:val="center"/>
          </w:tcPr>
          <w:p>
            <w:r>
              <w:rPr>
                <w:b w:val="false"/>
                <w:bCs w:val="false"/>
                <w:color w:val="222222"/>
                <w:sz w:val="20"/>
                <w:szCs w:val="20"/>
              </w:rPr>
              <w:t xml:space="preserve">See accompanying Sandchemy_CIP_Spark_Pitch_Deck.pptx.</w:t>
            </w:r>
          </w:p>
        </w:tc>
      </w:tr>
    </w:tbl>
    <w:p>
      <w:pPr>
        <w:spacing w:after="160" w:line="300"/>
      </w:pPr>
      <w:r>
        <w:rPr>
          <w:i w:val="false"/>
          <w:iCs w:val="false"/>
          <w:color w:val="222222"/>
          <w:sz w:val="21"/>
          <w:szCs w:val="21"/>
        </w:rPr>
        <w:t xml:space="preserve"/>
      </w:r>
    </w:p>
    <w:p>
      <w:pPr>
        <w:pBdr>
          <w:left w:val="single" w:color="B8860B" w:sz="12" w:space="8"/>
        </w:pBdr>
        <w:spacing w:after="200" w:before="80"/>
        <w:ind w:left="200"/>
      </w:pPr>
      <w:r>
        <w:rPr>
          <w:i/>
          <w:iCs/>
          <w:color w:val="595959"/>
          <w:sz w:val="20"/>
          <w:szCs w:val="20"/>
        </w:rPr>
        <w:t xml:space="preserve">Eligibility figures above are self-assessed against Cradle Fund's publicly published CIP Spark criteria as of July 2026, and should be re-confirmed directly with Cradle at application time, since programme terms can change.</w:t>
      </w:r>
    </w:p>
    <w:p>
      <w:pPr>
        <w:pStyle w:val="Heading1"/>
        <w:spacing w:after="160" w:before="320"/>
      </w:pPr>
      <w:r>
        <w:rPr>
          <w:b/>
          <w:bCs/>
          <w:color w:val="14172A"/>
          <w:sz w:val="30"/>
          <w:szCs w:val="30"/>
        </w:rPr>
        <w:t xml:space="preserve">10. Contact</w:t>
      </w:r>
    </w:p>
    <w:p>
      <w:pPr>
        <w:spacing w:after="160" w:line="300"/>
      </w:pPr>
      <w:r>
        <w:rPr>
          <w:i w:val="false"/>
          <w:iCs w:val="false"/>
          <w:color w:val="222222"/>
          <w:sz w:val="21"/>
          <w:szCs w:val="21"/>
        </w:rPr>
        <w:t xml:space="preserve">Aliff Hussien — Founder</w:t>
      </w:r>
    </w:p>
    <w:p>
      <w:pPr>
        <w:spacing w:after="160" w:line="300"/>
      </w:pPr>
      <w:r>
        <w:rPr>
          <w:i w:val="false"/>
          <w:iCs w:val="false"/>
          <w:color w:val="222222"/>
          <w:sz w:val="21"/>
          <w:szCs w:val="21"/>
        </w:rPr>
        <w:t xml:space="preserve">Email: aliff@sheikhhussien.com</w:t>
      </w:r>
    </w:p>
    <w:p>
      <w:pPr>
        <w:spacing w:after="160" w:line="300"/>
      </w:pPr>
      <w:r>
        <w:rPr>
          <w:i w:val="false"/>
          <w:iCs w:val="false"/>
          <w:color w:val="222222"/>
          <w:sz w:val="21"/>
          <w:szCs w:val="21"/>
        </w:rPr>
        <w:t xml:space="preserve">Product: Sandchemy (try it free — no install required)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color w:val="595959"/>
        <w:sz w:val="16"/>
        <w:szCs w:val="16"/>
      </w:rPr>
      <w:t xml:space="preserve">SANDCHEMY — CIP SPARK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2026-07-18T22:31:41.547Z</dcterms:created>
  <dcterms:modified xsi:type="dcterms:W3CDTF">2026-07-18T22:31:41.548Z</dcterms:modified>
</cp:coreProperties>
</file>

<file path=docProps/custom.xml><?xml version="1.0" encoding="utf-8"?>
<Properties xmlns="http://schemas.openxmlformats.org/officeDocument/2006/custom-properties" xmlns:vt="http://schemas.openxmlformats.org/officeDocument/2006/docPropsVTypes"/>
</file>