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Pr="00A3171E" w:rsidRDefault="00A3171E" w:rsidP="00A3171E">
      <w:pPr>
        <w:pStyle w:val="Heading1"/>
        <w:rPr>
          <w:rFonts w:eastAsia="Times New Roman"/>
          <w:sz w:val="36"/>
          <w:u w:val="single"/>
        </w:rPr>
      </w:pPr>
      <w:bookmarkStart w:id="0" w:name="_GoBack"/>
      <w:r w:rsidRPr="00A3171E">
        <w:rPr>
          <w:rFonts w:eastAsia="Times New Roman"/>
          <w:sz w:val="36"/>
          <w:u w:val="single"/>
        </w:rPr>
        <w:t>Challenges of Monolithic Architecture:</w:t>
      </w:r>
    </w:p>
    <w:bookmarkEnd w:id="0"/>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0B0703" w:rsidRDefault="000B0703"/>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511CC1"/>
    <w:rsid w:val="007F51EA"/>
    <w:rsid w:val="00970D5C"/>
    <w:rsid w:val="0097227C"/>
    <w:rsid w:val="00A3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2020-04-06T22:21:00Z</dcterms:created>
  <dcterms:modified xsi:type="dcterms:W3CDTF">2020-04-06T23:02:00Z</dcterms:modified>
</cp:coreProperties>
</file>