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77" w:rsidRDefault="005E1777" w:rsidP="001633A5">
      <w:pPr>
        <w:jc w:val="center"/>
        <w:rPr>
          <w:rFonts w:ascii="Garamond" w:hAnsi="Garamond" w:cs="Courier New"/>
          <w:noProof/>
          <w:sz w:val="16"/>
          <w:szCs w:val="16"/>
        </w:rPr>
      </w:pPr>
    </w:p>
    <w:p w:rsidR="005E1777" w:rsidRDefault="005E1777" w:rsidP="001633A5">
      <w:pPr>
        <w:jc w:val="center"/>
        <w:rPr>
          <w:rFonts w:ascii="Garamond" w:hAnsi="Garamond" w:cs="Courier New"/>
          <w:sz w:val="16"/>
          <w:szCs w:val="16"/>
        </w:rPr>
      </w:pPr>
      <w:r>
        <w:rPr>
          <w:rFonts w:ascii="Garamond" w:hAnsi="Garamond" w:cs="Courier New"/>
          <w:noProof/>
          <w:sz w:val="16"/>
          <w:szCs w:val="16"/>
        </w:rPr>
        <w:drawing>
          <wp:inline distT="0" distB="0" distL="0" distR="0">
            <wp:extent cx="1290955" cy="1207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U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8"/>
                    <a:stretch/>
                  </pic:blipFill>
                  <pic:spPr bwMode="auto">
                    <a:xfrm>
                      <a:off x="0" y="0"/>
                      <a:ext cx="1295053" cy="121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777" w:rsidRPr="005A6D60" w:rsidRDefault="005E1777" w:rsidP="001633A5">
      <w:pPr>
        <w:jc w:val="center"/>
        <w:rPr>
          <w:rFonts w:asciiTheme="majorBidi" w:hAnsiTheme="majorBidi" w:cstheme="majorBidi"/>
          <w:sz w:val="18"/>
          <w:szCs w:val="18"/>
        </w:rPr>
      </w:pPr>
      <w:r w:rsidRPr="005A6D60">
        <w:rPr>
          <w:rFonts w:asciiTheme="majorBidi" w:hAnsiTheme="majorBidi" w:cstheme="majorBidi"/>
          <w:sz w:val="18"/>
          <w:szCs w:val="18"/>
        </w:rPr>
        <w:t>Department of Computer Engineering &amp; Information Technology</w:t>
      </w:r>
    </w:p>
    <w:p w:rsidR="001633A5" w:rsidRPr="005A6D60" w:rsidRDefault="006105E6" w:rsidP="001633A5">
      <w:pPr>
        <w:jc w:val="center"/>
        <w:rPr>
          <w:rFonts w:asciiTheme="majorBidi" w:hAnsiTheme="majorBidi" w:cstheme="majorBidi"/>
          <w:sz w:val="18"/>
          <w:szCs w:val="18"/>
        </w:rPr>
      </w:pPr>
      <w:r w:rsidRPr="005A6D60">
        <w:rPr>
          <w:rFonts w:asciiTheme="majorBidi" w:hAnsiTheme="majorBidi" w:cstheme="majorBidi"/>
          <w:sz w:val="18"/>
          <w:szCs w:val="18"/>
        </w:rPr>
        <w:t>Amirkabir University of Technology</w:t>
      </w:r>
    </w:p>
    <w:p w:rsidR="001633A5" w:rsidRDefault="001633A5" w:rsidP="001633A5">
      <w:pPr>
        <w:jc w:val="center"/>
        <w:rPr>
          <w:rFonts w:ascii="Garamond" w:hAnsi="Garamond" w:cs="Courier New"/>
          <w:b/>
          <w:bCs/>
          <w:sz w:val="16"/>
          <w:szCs w:val="16"/>
        </w:rPr>
      </w:pPr>
    </w:p>
    <w:p w:rsidR="001633A5" w:rsidRPr="001633A5" w:rsidRDefault="001633A5" w:rsidP="001633A5">
      <w:pPr>
        <w:jc w:val="center"/>
        <w:rPr>
          <w:rFonts w:ascii="Garamond" w:hAnsi="Garamond" w:cs="Courier New"/>
          <w:b/>
          <w:bCs/>
          <w:sz w:val="16"/>
          <w:szCs w:val="16"/>
        </w:rPr>
      </w:pPr>
    </w:p>
    <w:p w:rsidR="00201930" w:rsidRPr="005A6D60" w:rsidRDefault="001D493C" w:rsidP="001633A5">
      <w:pPr>
        <w:jc w:val="center"/>
        <w:rPr>
          <w:rFonts w:asciiTheme="majorBidi" w:hAnsiTheme="majorBidi" w:cstheme="majorBidi"/>
          <w:sz w:val="20"/>
          <w:szCs w:val="20"/>
        </w:rPr>
      </w:pPr>
      <w:r w:rsidRPr="005A6D60">
        <w:rPr>
          <w:rFonts w:asciiTheme="majorBidi" w:hAnsiTheme="majorBidi" w:cstheme="majorBidi"/>
          <w:b/>
          <w:bCs/>
          <w:sz w:val="38"/>
          <w:szCs w:val="38"/>
        </w:rPr>
        <w:t>Research &amp; Technical Presentation in Engineering</w:t>
      </w:r>
    </w:p>
    <w:p w:rsidR="00896D1E" w:rsidRPr="005A6D60" w:rsidRDefault="00430EB7" w:rsidP="00896D1E">
      <w:pPr>
        <w:jc w:val="center"/>
        <w:rPr>
          <w:rFonts w:asciiTheme="majorBidi" w:hAnsiTheme="majorBidi" w:cstheme="majorBidi"/>
          <w:sz w:val="38"/>
          <w:szCs w:val="38"/>
        </w:rPr>
      </w:pPr>
      <w:r w:rsidRPr="005A6D60">
        <w:rPr>
          <w:rFonts w:asciiTheme="majorBidi" w:hAnsiTheme="majorBidi" w:cstheme="majorBidi"/>
          <w:sz w:val="38"/>
          <w:szCs w:val="38"/>
        </w:rPr>
        <w:t>Visual Question Answering</w:t>
      </w:r>
    </w:p>
    <w:p w:rsidR="00896D1E" w:rsidRPr="005A6D60" w:rsidRDefault="00896D1E" w:rsidP="001633A5">
      <w:pPr>
        <w:jc w:val="center"/>
        <w:rPr>
          <w:rFonts w:asciiTheme="majorBidi" w:hAnsiTheme="majorBidi" w:cstheme="majorBidi"/>
          <w:sz w:val="38"/>
          <w:szCs w:val="38"/>
        </w:rPr>
      </w:pPr>
    </w:p>
    <w:p w:rsidR="001D493C" w:rsidRPr="005A6D60" w:rsidRDefault="004A6CC6" w:rsidP="001633A5">
      <w:pPr>
        <w:spacing w:line="240" w:lineRule="auto"/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 xml:space="preserve">Assignment </w:t>
      </w:r>
      <w:r>
        <w:rPr>
          <w:rFonts w:asciiTheme="majorBidi" w:hAnsiTheme="majorBidi" w:cstheme="majorBidi" w:hint="cs"/>
          <w:sz w:val="38"/>
          <w:szCs w:val="38"/>
          <w:rtl/>
        </w:rPr>
        <w:t>7</w:t>
      </w:r>
    </w:p>
    <w:p w:rsidR="00430EB7" w:rsidRPr="005A6D60" w:rsidRDefault="00D750B2" w:rsidP="001633A5">
      <w:pPr>
        <w:spacing w:line="240" w:lineRule="auto"/>
        <w:jc w:val="center"/>
        <w:rPr>
          <w:rFonts w:asciiTheme="majorBidi" w:hAnsiTheme="majorBidi" w:cstheme="majorBidi"/>
          <w:sz w:val="18"/>
          <w:szCs w:val="18"/>
        </w:rPr>
      </w:pPr>
      <w:r w:rsidRPr="005A6D60">
        <w:rPr>
          <w:rFonts w:asciiTheme="majorBidi" w:hAnsiTheme="majorBidi" w:cstheme="majorBidi"/>
          <w:sz w:val="18"/>
          <w:szCs w:val="18"/>
        </w:rPr>
        <w:t>References Engineering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896D1E" w:rsidRPr="005A6D60" w:rsidRDefault="00896D1E" w:rsidP="001633A5">
      <w:pPr>
        <w:jc w:val="center"/>
        <w:rPr>
          <w:rFonts w:asciiTheme="majorBidi" w:hAnsiTheme="majorBidi" w:cstheme="majorBidi"/>
        </w:rPr>
      </w:pPr>
    </w:p>
    <w:p w:rsidR="001633A5" w:rsidRPr="005A6D60" w:rsidRDefault="001633A5" w:rsidP="001633A5">
      <w:pPr>
        <w:rPr>
          <w:rFonts w:asciiTheme="majorBidi" w:hAnsiTheme="majorBidi" w:cstheme="majorBidi"/>
        </w:rPr>
      </w:pPr>
    </w:p>
    <w:p w:rsidR="00201930" w:rsidRPr="005A6D60" w:rsidRDefault="00450593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Provided by</w:t>
      </w:r>
    </w:p>
    <w:p w:rsidR="001D493C" w:rsidRPr="005A6D60" w:rsidRDefault="00B67D0E" w:rsidP="001633A5">
      <w:pPr>
        <w:jc w:val="center"/>
        <w:rPr>
          <w:rFonts w:asciiTheme="majorBidi" w:hAnsiTheme="majorBidi" w:cstheme="majorBidi"/>
        </w:rPr>
      </w:pPr>
      <w:r w:rsidRPr="005A6D60">
        <w:rPr>
          <w:rFonts w:asciiTheme="majorBidi" w:hAnsiTheme="majorBidi" w:cstheme="majorBidi"/>
        </w:rPr>
        <w:t>Ali Gholami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  <w:b/>
          <w:bCs/>
        </w:rPr>
      </w:pPr>
    </w:p>
    <w:p w:rsidR="00847B1D" w:rsidRPr="005A6D60" w:rsidRDefault="00847B1D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Student Number</w:t>
      </w:r>
    </w:p>
    <w:p w:rsidR="00847B1D" w:rsidRPr="005A6D60" w:rsidRDefault="00847B1D" w:rsidP="001633A5">
      <w:pPr>
        <w:jc w:val="center"/>
        <w:rPr>
          <w:rFonts w:asciiTheme="majorBidi" w:hAnsiTheme="majorBidi" w:cstheme="majorBidi"/>
        </w:rPr>
      </w:pPr>
      <w:r w:rsidRPr="005A6D60">
        <w:rPr>
          <w:rFonts w:asciiTheme="majorBidi" w:hAnsiTheme="majorBidi" w:cstheme="majorBidi"/>
        </w:rPr>
        <w:t>9531504</w:t>
      </w:r>
    </w:p>
    <w:p w:rsidR="001633A5" w:rsidRPr="005A6D60" w:rsidRDefault="001633A5" w:rsidP="001633A5">
      <w:pPr>
        <w:jc w:val="center"/>
        <w:rPr>
          <w:rFonts w:asciiTheme="majorBidi" w:hAnsiTheme="majorBidi" w:cstheme="majorBidi"/>
          <w:b/>
          <w:bCs/>
        </w:rPr>
      </w:pPr>
    </w:p>
    <w:p w:rsidR="001633A5" w:rsidRPr="005A6D60" w:rsidRDefault="001633A5" w:rsidP="001633A5">
      <w:pPr>
        <w:jc w:val="center"/>
        <w:rPr>
          <w:rFonts w:asciiTheme="majorBidi" w:hAnsiTheme="majorBidi" w:cstheme="majorBidi"/>
          <w:b/>
          <w:bCs/>
        </w:rPr>
      </w:pPr>
      <w:r w:rsidRPr="005A6D60">
        <w:rPr>
          <w:rFonts w:asciiTheme="majorBidi" w:hAnsiTheme="majorBidi" w:cstheme="majorBidi"/>
          <w:b/>
          <w:bCs/>
        </w:rPr>
        <w:t>Advisor</w:t>
      </w:r>
    </w:p>
    <w:p w:rsidR="00780AA2" w:rsidRDefault="001633A5" w:rsidP="00780AA2">
      <w:pPr>
        <w:jc w:val="center"/>
        <w:rPr>
          <w:rFonts w:asciiTheme="majorBidi" w:hAnsiTheme="majorBidi" w:cstheme="majorBidi"/>
        </w:rPr>
      </w:pPr>
      <w:r w:rsidRPr="005A6D60">
        <w:rPr>
          <w:rFonts w:asciiTheme="majorBidi" w:hAnsiTheme="majorBidi" w:cstheme="majorBidi"/>
        </w:rPr>
        <w:t>Dr. Reza Safabakhsh</w:t>
      </w:r>
    </w:p>
    <w:p w:rsidR="00780AA2" w:rsidRPr="00A0134D" w:rsidRDefault="005E631B" w:rsidP="00A013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b/>
          <w:bCs/>
          <w:noProof/>
          <w:color w:val="44546A" w:themeColor="text2"/>
          <w:sz w:val="18"/>
          <w:szCs w:val="20"/>
        </w:rPr>
      </w:pPr>
      <w:r>
        <w:rPr>
          <w:rFonts w:asciiTheme="majorBidi" w:hAnsiTheme="majorBidi" w:cstheme="majorBidi"/>
          <w:b/>
          <w:bCs/>
          <w:color w:val="44546A" w:themeColor="text2"/>
          <w:sz w:val="32"/>
          <w:szCs w:val="32"/>
        </w:rPr>
        <w:lastRenderedPageBreak/>
        <w:t>References Information with IEEE Style</w:t>
      </w:r>
      <w:bookmarkStart w:id="0" w:name="_GoBack"/>
      <w:bookmarkEnd w:id="0"/>
      <w:r w:rsidR="00780AA2">
        <w:rPr>
          <w:rFonts w:asciiTheme="majorBidi" w:hAnsiTheme="majorBidi" w:cstheme="majorBidi"/>
          <w:b/>
          <w:bCs/>
          <w:color w:val="44546A" w:themeColor="text2"/>
        </w:rPr>
        <w:fldChar w:fldCharType="begin" w:fldLock="1"/>
      </w:r>
      <w:r w:rsidR="00780AA2" w:rsidRPr="00A0134D">
        <w:rPr>
          <w:rFonts w:asciiTheme="majorBidi" w:hAnsiTheme="majorBidi" w:cstheme="majorBidi"/>
          <w:b/>
          <w:bCs/>
          <w:color w:val="44546A" w:themeColor="text2"/>
        </w:rPr>
        <w:instrText xml:space="preserve">ADDIN Mendeley Bibliography CSL_BIBLIOGRAPHY </w:instrText>
      </w:r>
      <w:r w:rsidR="00780AA2">
        <w:rPr>
          <w:rFonts w:asciiTheme="majorBidi" w:hAnsiTheme="majorBidi" w:cstheme="majorBidi"/>
          <w:b/>
          <w:bCs/>
          <w:color w:val="44546A" w:themeColor="text2"/>
        </w:rPr>
        <w:fldChar w:fldCharType="separate"/>
      </w:r>
    </w:p>
    <w:p w:rsidR="00780AA2" w:rsidRPr="00C24975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ab/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C24975">
        <w:rPr>
          <w:rFonts w:ascii="Times New Roman" w:hAnsi="Times New Roman" w:cs="Times New Roman"/>
          <w:noProof/>
          <w:szCs w:val="24"/>
        </w:rPr>
        <w:t xml:space="preserve"> </w:t>
      </w:r>
      <w:r>
        <w:rPr>
          <w:rFonts w:ascii="Times New Roman" w:hAnsi="Times New Roman" w:cs="Times New Roman"/>
          <w:noProof/>
          <w:szCs w:val="24"/>
        </w:rPr>
        <w:t>[1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Y. Zhu, J. J. Lim, and L. Fei-Fei, “Knowledge Acquisition for Visual Question Answering via Iterative Querying,”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2017 IEEE Conf. Comput. Vis. Pattern Recognit.</w:t>
      </w:r>
      <w:r w:rsidRPr="00C24975">
        <w:rPr>
          <w:rFonts w:ascii="Times New Roman" w:hAnsi="Times New Roman" w:cs="Times New Roman"/>
          <w:noProof/>
          <w:szCs w:val="24"/>
        </w:rPr>
        <w:t>, pp. 6146–6155,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6D25D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Conference</w:t>
      </w:r>
      <w:r>
        <w:rPr>
          <w:rFonts w:asciiTheme="majorBidi" w:hAnsiTheme="majorBidi" w:cstheme="majorBidi"/>
          <w:noProof/>
          <w:color w:val="44546A" w:themeColor="text2"/>
          <w:szCs w:val="24"/>
        </w:rPr>
        <w:t xml:space="preserve"> </w:t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158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3</w:t>
      </w:r>
    </w:p>
    <w:p w:rsidR="00780AA2" w:rsidRPr="00C24975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[2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D. Yu, J. Fu, T. Mei, and Y. Rui, “Multi-level Attention Networks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2017 IEEE Conf. Comput. Vis. Pattern Recognit.</w:t>
      </w:r>
      <w:r w:rsidRPr="00C24975">
        <w:rPr>
          <w:rFonts w:ascii="Times New Roman" w:hAnsi="Times New Roman" w:cs="Times New Roman"/>
          <w:noProof/>
          <w:szCs w:val="24"/>
        </w:rPr>
        <w:t>, pp. 4187–4195,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</w:r>
      <w:r w:rsidRPr="006D25D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Conference</w:t>
      </w:r>
      <w:r>
        <w:rPr>
          <w:rFonts w:asciiTheme="majorBidi" w:hAnsiTheme="majorBidi" w:cstheme="majorBidi"/>
          <w:noProof/>
          <w:color w:val="44546A" w:themeColor="text2"/>
          <w:szCs w:val="24"/>
        </w:rPr>
        <w:t xml:space="preserve"> </w:t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158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11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[3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Das, H. Agrawal, L. Zitnick, D. Parikh, and D. Batra, “Human Attention in Visual Question Answering: Do Humans and Deep Networks Look at the Same Regions?,”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4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1.540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60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[4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Z. Yu, J. Yu, J. Fan, and D. Tao, “Multi-modal Factorized Bilinear Pooling with Co-attention Learning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pp. 1839–1848,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</w:r>
      <w:r w:rsidRPr="006D25D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Conference</w:t>
      </w:r>
      <w:r>
        <w:rPr>
          <w:rFonts w:asciiTheme="majorBidi" w:hAnsiTheme="majorBidi" w:cstheme="majorBidi"/>
          <w:noProof/>
          <w:color w:val="44546A" w:themeColor="text2"/>
          <w:szCs w:val="24"/>
        </w:rPr>
        <w:t xml:space="preserve"> </w:t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89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[5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Das, S. Kottur, J. M. F. Moura, S. Lee, and D. Batra, “Learning Cooperative Visual Dialog Agents with Deep Reinforcement Learning,”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IEEE Int. Conf. Comput. Vis.</w:t>
      </w:r>
      <w:r w:rsidRPr="00C24975">
        <w:rPr>
          <w:rFonts w:ascii="Times New Roman" w:hAnsi="Times New Roman" w:cs="Times New Roman"/>
          <w:noProof/>
          <w:szCs w:val="24"/>
        </w:rPr>
        <w:t>, vol. 2017–Octob, pp. 2970–2979,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</w:r>
      <w:r w:rsidRPr="006D25D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Conference</w:t>
      </w:r>
      <w:r>
        <w:rPr>
          <w:rFonts w:asciiTheme="majorBidi" w:hAnsiTheme="majorBidi" w:cstheme="majorBidi"/>
          <w:noProof/>
          <w:color w:val="44546A" w:themeColor="text2"/>
          <w:szCs w:val="24"/>
        </w:rPr>
        <w:t xml:space="preserve"> </w:t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89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37</w:t>
      </w:r>
    </w:p>
    <w:p w:rsidR="00780AA2" w:rsidRPr="00C24975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[6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K. Saito, A. Shin, Y. Ushiku, and T. Harada, “DualNet: Domain-invariant network for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Proc. - IEEE Int. Conf. Multimed. Expo</w:t>
      </w:r>
      <w:r w:rsidRPr="00C24975">
        <w:rPr>
          <w:rFonts w:ascii="Times New Roman" w:hAnsi="Times New Roman" w:cs="Times New Roman"/>
          <w:noProof/>
          <w:szCs w:val="24"/>
        </w:rPr>
        <w:t>, pp. 829–834,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</w:r>
      <w:r w:rsidRPr="006D25D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Conference</w:t>
      </w:r>
      <w:r>
        <w:rPr>
          <w:rFonts w:asciiTheme="majorBidi" w:hAnsiTheme="majorBidi" w:cstheme="majorBidi"/>
          <w:noProof/>
          <w:color w:val="44546A" w:themeColor="text2"/>
          <w:szCs w:val="24"/>
        </w:rPr>
        <w:t xml:space="preserve"> </w:t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25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9</w:t>
      </w:r>
    </w:p>
    <w:p w:rsidR="00780AA2" w:rsidRPr="00C24975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t>[7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S. Ren, K. He, R. Girshick, and J. Sun, “Faster R-CNN: Towards Real-Time Object Detection with Region Proposal Networks,”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IEEE Trans. Pattern Anal. Mach. Intell.</w:t>
      </w:r>
      <w:r w:rsidRPr="00C24975">
        <w:rPr>
          <w:rFonts w:ascii="Times New Roman" w:hAnsi="Times New Roman" w:cs="Times New Roman"/>
          <w:noProof/>
          <w:szCs w:val="24"/>
        </w:rPr>
        <w:t>, vol. 39, no. 6, pp. 1137–1149,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12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5.781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470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[8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Q. Wu, D. Teney, P. Wang, C. Shen, A. Dick, and A. van den Hengel, “Visual question answering: A survey of methods and datasets,”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vol. 163, pp. 21–40,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8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1.540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34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  <w:rtl/>
        </w:rPr>
      </w:pPr>
      <w:r>
        <w:rPr>
          <w:rFonts w:ascii="Times New Roman" w:hAnsi="Times New Roman" w:cs="Times New Roman"/>
          <w:noProof/>
          <w:szCs w:val="24"/>
        </w:rPr>
        <w:t>[9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K. Kafle and C. Kanan, “Visual question answering: Datasets, algorithms, and future challenges,”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Comput. Vis. Image Underst.</w:t>
      </w:r>
      <w:r w:rsidRPr="00C24975">
        <w:rPr>
          <w:rFonts w:ascii="Times New Roman" w:hAnsi="Times New Roman" w:cs="Times New Roman"/>
          <w:noProof/>
          <w:szCs w:val="24"/>
        </w:rPr>
        <w:t>, vol. 163, pp. 3–20,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</w:t>
      </w:r>
      <w:r>
        <w:rPr>
          <w:rFonts w:asciiTheme="majorBidi" w:hAnsiTheme="majorBidi" w:cstheme="majorBidi" w:hint="cs"/>
          <w:noProof/>
          <w:color w:val="44546A" w:themeColor="text2"/>
          <w:sz w:val="18"/>
          <w:szCs w:val="20"/>
          <w:rtl/>
        </w:rPr>
        <w:t>3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1.540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15</w:t>
      </w:r>
    </w:p>
    <w:p w:rsidR="00780AA2" w:rsidRPr="00C24975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  <w:rtl/>
        </w:rPr>
      </w:pPr>
      <w:r>
        <w:rPr>
          <w:rFonts w:ascii="Times New Roman" w:hAnsi="Times New Roman" w:cs="Times New Roman"/>
          <w:noProof/>
          <w:szCs w:val="24"/>
        </w:rPr>
        <w:t>[10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A. Agrawal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C24975">
        <w:rPr>
          <w:rFonts w:ascii="Times New Roman" w:hAnsi="Times New Roman" w:cs="Times New Roman"/>
          <w:noProof/>
          <w:szCs w:val="24"/>
        </w:rPr>
        <w:t xml:space="preserve">, “VQA: Visual Question Answering: www.visualqa.org,”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Int. J. Comput. Vis.</w:t>
      </w:r>
      <w:r w:rsidRPr="00C24975">
        <w:rPr>
          <w:rFonts w:ascii="Times New Roman" w:hAnsi="Times New Roman" w:cs="Times New Roman"/>
          <w:noProof/>
          <w:szCs w:val="24"/>
        </w:rPr>
        <w:t>, vol. 123, no. 1, pp. 4–31,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</w:t>
      </w:r>
      <w:r>
        <w:rPr>
          <w:rFonts w:asciiTheme="majorBidi" w:hAnsiTheme="majorBidi" w:cstheme="majorBidi" w:hint="cs"/>
          <w:noProof/>
          <w:color w:val="44546A" w:themeColor="text2"/>
          <w:sz w:val="18"/>
          <w:szCs w:val="20"/>
          <w:rtl/>
        </w:rPr>
        <w:t>5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3.810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</w:t>
      </w:r>
      <w:r>
        <w:rPr>
          <w:rFonts w:asciiTheme="majorBidi" w:hAnsiTheme="majorBidi" w:cstheme="majorBidi" w:hint="cs"/>
          <w:noProof/>
          <w:color w:val="44546A" w:themeColor="text2"/>
          <w:sz w:val="18"/>
          <w:szCs w:val="20"/>
          <w:rtl/>
        </w:rPr>
        <w:t>68</w:t>
      </w: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</w:p>
    <w:p w:rsidR="00780AA2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[11</w:t>
      </w:r>
      <w:r w:rsidRPr="00C24975">
        <w:rPr>
          <w:rFonts w:ascii="Times New Roman" w:hAnsi="Times New Roman" w:cs="Times New Roman"/>
          <w:noProof/>
          <w:szCs w:val="24"/>
        </w:rPr>
        <w:t>]</w:t>
      </w:r>
      <w:r w:rsidRPr="00C24975">
        <w:rPr>
          <w:rFonts w:ascii="Times New Roman" w:hAnsi="Times New Roman" w:cs="Times New Roman"/>
          <w:noProof/>
          <w:szCs w:val="24"/>
        </w:rPr>
        <w:tab/>
        <w:t xml:space="preserve">P. Wang, Q. Wu, C. Shen, A. Dick, and A. van den Hengel, “FVQA: Fact-based Visual Question Answering,” </w:t>
      </w:r>
      <w:r w:rsidRPr="00C24975">
        <w:rPr>
          <w:rFonts w:ascii="Times New Roman" w:hAnsi="Times New Roman" w:cs="Times New Roman"/>
          <w:i/>
          <w:iCs/>
          <w:noProof/>
          <w:szCs w:val="24"/>
        </w:rPr>
        <w:t>IEEE Trans. Pattern Anal. Mach. Intell.</w:t>
      </w:r>
      <w:r w:rsidRPr="00C24975">
        <w:rPr>
          <w:rFonts w:ascii="Times New Roman" w:hAnsi="Times New Roman" w:cs="Times New Roman"/>
          <w:noProof/>
          <w:szCs w:val="24"/>
        </w:rPr>
        <w:t>, pp. 1–16, 2017.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Cs w:val="24"/>
          <w:rtl/>
        </w:rPr>
        <w:tab/>
      </w: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>h-index: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12</w:t>
      </w:r>
    </w:p>
    <w:p w:rsidR="00780AA2" w:rsidRPr="00F1461E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  <w:rtl/>
          <w:lang w:bidi="fa-IR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Impact factor: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5.781</w:t>
      </w:r>
    </w:p>
    <w:p w:rsidR="00780AA2" w:rsidRPr="000C560D" w:rsidRDefault="00780AA2" w:rsidP="00780AA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Theme="majorBidi" w:hAnsiTheme="majorBidi" w:cstheme="majorBidi"/>
          <w:noProof/>
          <w:color w:val="44546A" w:themeColor="text2"/>
          <w:sz w:val="18"/>
          <w:szCs w:val="20"/>
        </w:rPr>
      </w:pPr>
      <w:r w:rsidRPr="00F1461E"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ab/>
        <w:t>Number of citations:</w:t>
      </w:r>
      <w:r>
        <w:rPr>
          <w:rFonts w:asciiTheme="majorBidi" w:hAnsiTheme="majorBidi" w:cstheme="majorBidi"/>
          <w:noProof/>
          <w:color w:val="44546A" w:themeColor="text2"/>
          <w:sz w:val="18"/>
          <w:szCs w:val="20"/>
        </w:rPr>
        <w:t xml:space="preserve"> 15</w:t>
      </w:r>
      <w:r>
        <w:rPr>
          <w:rFonts w:asciiTheme="majorBidi" w:hAnsiTheme="majorBidi" w:cstheme="majorBidi"/>
        </w:rPr>
        <w:fldChar w:fldCharType="end"/>
      </w:r>
    </w:p>
    <w:p w:rsidR="00167C1A" w:rsidRDefault="00167C1A" w:rsidP="00167C1A">
      <w:pPr>
        <w:jc w:val="center"/>
        <w:rPr>
          <w:rFonts w:asciiTheme="majorBidi" w:hAnsiTheme="majorBidi" w:cstheme="majorBidi"/>
        </w:rPr>
      </w:pPr>
    </w:p>
    <w:p w:rsidR="00167C1A" w:rsidRDefault="00167C1A" w:rsidP="00167C1A">
      <w:pPr>
        <w:jc w:val="center"/>
        <w:rPr>
          <w:rFonts w:asciiTheme="majorBidi" w:hAnsiTheme="majorBidi" w:cstheme="majorBidi"/>
        </w:rPr>
      </w:pPr>
    </w:p>
    <w:p w:rsidR="00167C1A" w:rsidRDefault="00167C1A" w:rsidP="00167C1A">
      <w:pPr>
        <w:jc w:val="center"/>
        <w:rPr>
          <w:rFonts w:asciiTheme="majorBidi" w:hAnsiTheme="majorBidi" w:cstheme="majorBidi"/>
        </w:rPr>
      </w:pPr>
    </w:p>
    <w:p w:rsidR="00167C1A" w:rsidRDefault="00167C1A" w:rsidP="00167C1A">
      <w:pPr>
        <w:jc w:val="center"/>
        <w:rPr>
          <w:rFonts w:asciiTheme="majorBidi" w:hAnsiTheme="majorBidi" w:cstheme="majorBidi"/>
        </w:rPr>
      </w:pPr>
    </w:p>
    <w:sectPr w:rsidR="0016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DC" w:rsidRDefault="00153DDC" w:rsidP="00780AA2">
      <w:pPr>
        <w:spacing w:after="0" w:line="240" w:lineRule="auto"/>
      </w:pPr>
      <w:r>
        <w:separator/>
      </w:r>
    </w:p>
  </w:endnote>
  <w:endnote w:type="continuationSeparator" w:id="0">
    <w:p w:rsidR="00153DDC" w:rsidRDefault="00153DDC" w:rsidP="0078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DC" w:rsidRDefault="00153DDC" w:rsidP="00780AA2">
      <w:pPr>
        <w:spacing w:after="0" w:line="240" w:lineRule="auto"/>
      </w:pPr>
      <w:r>
        <w:separator/>
      </w:r>
    </w:p>
  </w:footnote>
  <w:footnote w:type="continuationSeparator" w:id="0">
    <w:p w:rsidR="00153DDC" w:rsidRDefault="00153DDC" w:rsidP="00780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B7"/>
    <w:rsid w:val="00080689"/>
    <w:rsid w:val="000A09A0"/>
    <w:rsid w:val="000A5E08"/>
    <w:rsid w:val="000B6499"/>
    <w:rsid w:val="000F5332"/>
    <w:rsid w:val="0014630C"/>
    <w:rsid w:val="00153DDC"/>
    <w:rsid w:val="001633A5"/>
    <w:rsid w:val="00167C1A"/>
    <w:rsid w:val="001934D3"/>
    <w:rsid w:val="00197D8D"/>
    <w:rsid w:val="001D493C"/>
    <w:rsid w:val="001D497F"/>
    <w:rsid w:val="001F02BD"/>
    <w:rsid w:val="00201930"/>
    <w:rsid w:val="00251FAA"/>
    <w:rsid w:val="00253F02"/>
    <w:rsid w:val="00295FFA"/>
    <w:rsid w:val="002A7EBC"/>
    <w:rsid w:val="002B1E30"/>
    <w:rsid w:val="002C60B4"/>
    <w:rsid w:val="00307EAA"/>
    <w:rsid w:val="00397D90"/>
    <w:rsid w:val="003B5F9E"/>
    <w:rsid w:val="003F0D35"/>
    <w:rsid w:val="003F3EAB"/>
    <w:rsid w:val="004000F0"/>
    <w:rsid w:val="00430EB7"/>
    <w:rsid w:val="00450593"/>
    <w:rsid w:val="00472E7B"/>
    <w:rsid w:val="004A6CC6"/>
    <w:rsid w:val="004F13AD"/>
    <w:rsid w:val="00514EE6"/>
    <w:rsid w:val="0055650A"/>
    <w:rsid w:val="00557540"/>
    <w:rsid w:val="005A6D60"/>
    <w:rsid w:val="005B5B7A"/>
    <w:rsid w:val="005E1777"/>
    <w:rsid w:val="005E631B"/>
    <w:rsid w:val="005E6CF5"/>
    <w:rsid w:val="005E7255"/>
    <w:rsid w:val="006105E6"/>
    <w:rsid w:val="006431E3"/>
    <w:rsid w:val="00652ACD"/>
    <w:rsid w:val="006D25DE"/>
    <w:rsid w:val="006E0D1E"/>
    <w:rsid w:val="006F5F77"/>
    <w:rsid w:val="00780AA2"/>
    <w:rsid w:val="00783D6B"/>
    <w:rsid w:val="008012D0"/>
    <w:rsid w:val="0080632D"/>
    <w:rsid w:val="00813ADE"/>
    <w:rsid w:val="00824800"/>
    <w:rsid w:val="00840121"/>
    <w:rsid w:val="00847B1D"/>
    <w:rsid w:val="00856A16"/>
    <w:rsid w:val="00896D1E"/>
    <w:rsid w:val="009442B0"/>
    <w:rsid w:val="009979A9"/>
    <w:rsid w:val="009B6289"/>
    <w:rsid w:val="009B6441"/>
    <w:rsid w:val="009C7F7F"/>
    <w:rsid w:val="00A0134D"/>
    <w:rsid w:val="00A20E8B"/>
    <w:rsid w:val="00A50A74"/>
    <w:rsid w:val="00A7452D"/>
    <w:rsid w:val="00AA5FDF"/>
    <w:rsid w:val="00AE1C90"/>
    <w:rsid w:val="00AF1074"/>
    <w:rsid w:val="00B06CD1"/>
    <w:rsid w:val="00B22B2C"/>
    <w:rsid w:val="00B67D0E"/>
    <w:rsid w:val="00B7524D"/>
    <w:rsid w:val="00B92B2E"/>
    <w:rsid w:val="00BA4678"/>
    <w:rsid w:val="00BC6A51"/>
    <w:rsid w:val="00BE1CE0"/>
    <w:rsid w:val="00BE65E3"/>
    <w:rsid w:val="00C24975"/>
    <w:rsid w:val="00CC017D"/>
    <w:rsid w:val="00CC2C3A"/>
    <w:rsid w:val="00CD75D8"/>
    <w:rsid w:val="00D33EE3"/>
    <w:rsid w:val="00D409E9"/>
    <w:rsid w:val="00D43765"/>
    <w:rsid w:val="00D750B2"/>
    <w:rsid w:val="00D80A3F"/>
    <w:rsid w:val="00D96A1D"/>
    <w:rsid w:val="00DD42D8"/>
    <w:rsid w:val="00DE2EC3"/>
    <w:rsid w:val="00DE440D"/>
    <w:rsid w:val="00E02B74"/>
    <w:rsid w:val="00E26E3B"/>
    <w:rsid w:val="00E45BF2"/>
    <w:rsid w:val="00E57B14"/>
    <w:rsid w:val="00E84312"/>
    <w:rsid w:val="00EA3F56"/>
    <w:rsid w:val="00EE35F1"/>
    <w:rsid w:val="00F1461E"/>
    <w:rsid w:val="00F52C6F"/>
    <w:rsid w:val="00F753FD"/>
    <w:rsid w:val="00F856B3"/>
    <w:rsid w:val="00FD1F10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05A6E"/>
  <w15:chartTrackingRefBased/>
  <w15:docId w15:val="{D6EC24D9-1EE7-491B-82E2-4EF81B56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A2"/>
  </w:style>
  <w:style w:type="paragraph" w:styleId="Footer">
    <w:name w:val="footer"/>
    <w:basedOn w:val="Normal"/>
    <w:link w:val="FooterChar"/>
    <w:uiPriority w:val="99"/>
    <w:unhideWhenUsed/>
    <w:rsid w:val="0078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62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104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F2AF-5E41-417A-9621-21FA36CD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6</cp:revision>
  <dcterms:created xsi:type="dcterms:W3CDTF">2018-04-22T17:20:00Z</dcterms:created>
  <dcterms:modified xsi:type="dcterms:W3CDTF">2018-04-24T08:34:00Z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1c8b8192-0eca-3dbe-8146-8817253035a1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