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Multiple Sclerosis Lesion Segmentation Using a Tri-Encoder Attention U-Net with Deep Supervision</w:t>
      </w:r>
    </w:p>
    <w:p>
      <w:pPr>
        <w:pStyle w:val="Heading2"/>
      </w:pPr>
      <w:r>
        <w:t>Abstract</w:t>
      </w:r>
    </w:p>
    <w:p>
      <w:r>
        <w:t>This project investigates automated segmentation of Multiple Sclerosis (MS) lesions from MRI scans using a Tri-Encoder Attention U-Net architecture with deep supervision. The model uses FLAIR, T1, and T2 MRI modalities and achieved an average Dice score of approximately 0.66 on the independent test set.</w:t>
      </w:r>
    </w:p>
    <w:p>
      <w:pPr>
        <w:pStyle w:val="Heading2"/>
      </w:pPr>
      <w:r>
        <w:t>Introduction</w:t>
      </w:r>
    </w:p>
    <w:p>
      <w:r>
        <w:t>Multiple Sclerosis lesion segmentation is important for diagnosis and disease monitoring. This work explores a deep learning approach that combines multiple MRI modalities with attention mechanisms and deep supervision.</w:t>
      </w:r>
    </w:p>
    <w:p>
      <w:pPr>
        <w:pStyle w:val="Heading2"/>
      </w:pPr>
      <w:r>
        <w:t>Dataset</w:t>
      </w:r>
    </w:p>
    <w:p>
      <w:r>
        <w:t>The MSSEG dataset was used. Training data consisted of 15 cases, with train/validation splitting and evaluation on an independent test set of 38 cases. Modalities included FLAIR, T1-weighted, and T2-weighted MRI.</w:t>
      </w:r>
    </w:p>
    <w:p>
      <w:pPr>
        <w:pStyle w:val="Heading2"/>
      </w:pPr>
      <w:r>
        <w:t>Preprocessing</w:t>
      </w:r>
    </w:p>
    <w:p>
      <w:r>
        <w:t>Preprocessing included orientation normalization, resampling, intensity normalization, foreground cropping, mask binarization, and multimodal channel concatenation. Data augmentation included flips, rotations, intensity variations, Gaussian noise, bias field augmentation, and contrast adjustments.</w:t>
      </w:r>
    </w:p>
    <w:p>
      <w:pPr>
        <w:pStyle w:val="Heading2"/>
      </w:pPr>
      <w:r>
        <w:t>Model Architecture</w:t>
      </w:r>
    </w:p>
    <w:p>
      <w:r>
        <w:t>The proposed architecture is a Tri-Encoder Attention U-Net with deep supervision. Separate encoder pathways process multimodal MRI inputs, while attention modules emphasize lesion-relevant regions. Auxiliary outputs improve optimization during training.</w:t>
      </w:r>
    </w:p>
    <w:p>
      <w:pPr>
        <w:pStyle w:val="Heading2"/>
      </w:pPr>
      <w:r>
        <w:t>Training Strategy</w:t>
      </w:r>
    </w:p>
    <w:p>
      <w:r>
        <w:t>Training used AdamW optimization, OneCycleLR scheduling, mixed precision training, and a Deep Supervised Dice-Focal Loss. The model was trained for 100 epochs.</w:t>
      </w:r>
    </w:p>
    <w:p>
      <w:pPr>
        <w:pStyle w:val="Heading2"/>
      </w:pPr>
      <w:r>
        <w:t>Results</w:t>
      </w:r>
    </w:p>
    <w:p>
      <w:r>
        <w:t>The model achieved an average Dice score of 0.6625 on the test set, with a best-case Dice score of 0.8634. Test-Time Augmentation produced similar performance, indicating prediction stability.</w:t>
      </w:r>
    </w:p>
    <w:p>
      <w:pPr>
        <w:pStyle w:val="Heading2"/>
      </w:pPr>
      <w:r>
        <w:t>Conclusion</w:t>
      </w:r>
    </w:p>
    <w:p>
      <w:r>
        <w:t>The architecture demonstrates effective MS lesion segmentation using multimodal MRI data. Future work may include transformer-based modules, larger datasets, and ensemble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