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Multiple Sclerosis Lesion Segmentation Using a Tri-Encoder Attention U-Net with Deep Supervision</w:t>
      </w:r>
    </w:p>
    <w:p>
      <w:pPr>
        <w:pStyle w:val="Heading1"/>
      </w:pPr>
      <w:r>
        <w:t>Abstract</w:t>
      </w:r>
    </w:p>
    <w:p>
      <w:r>
        <w:t>This report presents a comprehensive investigation into automated Multiple Sclerosis (MS) lesion segmentation using a deep learning framework based on a Tri‑Encoder Attention U‑Net architecture with deep supervision. The proposed framework integrates multimodal MRI information from FLAIR, T1-weighted, and T2-weighted scans, employs extensive preprocessing and augmentation strategies, and uses a Dice–Focal loss formulation to address severe class imbalance. Experimental evaluation demonstrates competitive segmentation performance on the MSSEG dataset. The study highlights the importance of multimodal feature fusion, attention mechanisms, and deep supervision for improving lesion delineation in challenging neuroimaging tasks.</w:t>
      </w:r>
    </w:p>
    <w:p>
      <w:r>
        <w:t>This report presents a comprehensive investigation into automated Multiple Sclerosis (MS) lesion segmentation using a deep learning framework based on a Tri‑Encoder Attention U‑Net architecture with deep supervision. The proposed framework integrates multimodal MRI information from FLAIR, T1-weighted, and T2-weighted scans, employs extensive preprocessing and augmentation strategies, and uses a Dice–Focal loss formulation to address severe class imbalance. Experimental evaluation demonstrates competitive segmentation performance on the MSSEG dataset. The study highlights the importance of multimodal feature fusion, attention mechanisms, and deep supervision for improving lesion delineation in challenging neuroimaging tasks.</w:t>
      </w:r>
    </w:p>
    <w:p>
      <w:r>
        <w:t>The findings presented in this section are discussed in the context of modern medical image segmentation research and reflect the implementation choices observed in the notebook workflow.</w:t>
      </w:r>
    </w:p>
    <w:p>
      <w:pPr>
        <w:pStyle w:val="Heading1"/>
      </w:pPr>
      <w:r>
        <w:t>1. Introduction</w:t>
      </w:r>
    </w:p>
    <w:p>
      <w:r>
        <w:t>Multiple Sclerosis is a chronic demyelinating disease of the central nervous system characterized by focal lesions visible in MRI. Accurate lesion segmentation is important for diagnosis, disease monitoring, treatment planning, and quantitative assessment of disease progression. Manual delineation is time-consuming and subject to inter-observer variability. Deep learning has emerged as a powerful alternative, particularly encoder–decoder architectures such as U‑Net. This project explores a specialized architecture designed to leverage complementary information from multiple MRI modalities while preserving spatial detail and contextual information.</w:t>
      </w:r>
    </w:p>
    <w:p>
      <w:r>
        <w:t>Multiple Sclerosis is a chronic demyelinating disease of the central nervous system characterized by focal lesions visible in MRI. Accurate lesion segmentation is important for diagnosis, disease monitoring, treatment planning, and quantitative assessment of disease progression. Manual delineation is time-consuming and subject to inter-observer variability. Deep learning has emerged as a powerful alternative, particularly encoder–decoder architectures such as U‑Net. This project explores a specialized architecture designed to leverage complementary information from multiple MRI modalities while preserving spatial detail and contextual information.</w:t>
      </w:r>
    </w:p>
    <w:p>
      <w:r>
        <w:t>The findings presented in this section are discussed in the context of modern medical image segmentation research and reflect the implementation choices observed in the notebook workflow.</w:t>
      </w:r>
    </w:p>
    <w:p>
      <w:pPr>
        <w:pStyle w:val="Heading1"/>
      </w:pPr>
      <w:r>
        <w:t>2. Literature Background</w:t>
      </w:r>
    </w:p>
    <w:p>
      <w:r>
        <w:t>Traditional image processing methods relied on thresholding, region growing, atlas-based segmentation, and handcrafted features. More recently, convolutional neural networks have significantly improved medical image segmentation. U‑Net and its variants remain among the most influential architectures. Attention mechanisms enable networks to focus on clinically relevant structures, while deep supervision improves optimization and gradient propagation. Multimodal fusion has become increasingly important in MS lesion segmentation because different MRI sequences reveal different pathological characteristics.</w:t>
      </w:r>
    </w:p>
    <w:p>
      <w:r>
        <w:t>Traditional image processing methods relied on thresholding, region growing, atlas-based segmentation, and handcrafted features. More recently, convolutional neural networks have significantly improved medical image segmentation. U‑Net and its variants remain among the most influential architectures. Attention mechanisms enable networks to focus on clinically relevant structures, while deep supervision improves optimization and gradient propagation. Multimodal fusion has become increasingly important in MS lesion segmentation because different MRI sequences reveal different pathological characteristics.</w:t>
      </w:r>
    </w:p>
    <w:p>
      <w:r>
        <w:t>The findings presented in this section are discussed in the context of modern medical image segmentation research and reflect the implementation choices observed in the notebook workflow.</w:t>
      </w:r>
    </w:p>
    <w:p>
      <w:pPr>
        <w:pStyle w:val="Heading1"/>
      </w:pPr>
      <w:r>
        <w:t>3. Dataset Description</w:t>
      </w:r>
    </w:p>
    <w:p>
      <w:r>
        <w:t>The MSSEG dataset contains multimodal MRI scans and corresponding expert lesion annotations. The notebook processes FLAIR, T1-weighted, and T2-weighted MRI modalities and generates binary lesion masks. Data are partitioned into training, validation, and testing subsets. The dataset presents several challenges, including lesion size variability, class imbalance, scanner variability, and heterogeneous lesion appearance.</w:t>
      </w:r>
    </w:p>
    <w:p>
      <w:r>
        <w:t>The MSSEG dataset contains multimodal MRI scans and corresponding expert lesion annotations. The notebook processes FLAIR, T1-weighted, and T2-weighted MRI modalities and generates binary lesion masks. Data are partitioned into training, validation, and testing subsets. The dataset presents several challenges, including lesion size variability, class imbalance, scanner variability, and heterogeneous lesion appearance.</w:t>
      </w:r>
    </w:p>
    <w:p>
      <w:r>
        <w:t>The findings presented in this section are discussed in the context of modern medical image segmentation research and reflect the implementation choices observed in the notebook workflow.</w:t>
      </w:r>
    </w:p>
    <w:p>
      <w:pPr>
        <w:pStyle w:val="Heading1"/>
      </w:pPr>
      <w:r>
        <w:t>4. Preprocessing Pipeline</w:t>
      </w:r>
    </w:p>
    <w:p>
      <w:r>
        <w:t>The preprocessing pipeline was implemented using MONAI and follows best practices for volumetric medical image analysis. Operations include image loading, channel formatting, orientation normalization, resampling to consistent voxel spacing, intensity normalization, foreground extraction, mask binarization, and modality concatenation. These steps ensure that all subjects are represented in a standardized space and reduce irrelevant variation. Data augmentation further improves generalization through spatial and intensity transformations.</w:t>
      </w:r>
    </w:p>
    <w:p>
      <w:r>
        <w:t>The preprocessing pipeline was implemented using MONAI and follows best practices for volumetric medical image analysis. Operations include image loading, channel formatting, orientation normalization, resampling to consistent voxel spacing, intensity normalization, foreground extraction, mask binarization, and modality concatenation. These steps ensure that all subjects are represented in a standardized space and reduce irrelevant variation. Data augmentation further improves generalization through spatial and intensity transformations.</w:t>
      </w:r>
    </w:p>
    <w:p>
      <w:r>
        <w:t>The findings presented in this section are discussed in the context of modern medical image segmentation research and reflect the implementation choices observed in the notebook workflow.</w:t>
      </w:r>
    </w:p>
    <w:p>
      <w:pPr>
        <w:pStyle w:val="Heading1"/>
      </w:pPr>
      <w:r>
        <w:t>5. Architecture Design</w:t>
      </w:r>
    </w:p>
    <w:p>
      <w:r>
        <w:t>The proposed Tri‑Encoder Attention U‑Net extends the traditional U‑Net framework by incorporating multiple modality-specific encoder pathways. Each encoder extracts hierarchical features from a different MRI modality. Intermediate representations are fused and forwarded to the decoder through skip connections. Attention modules prioritize lesion-relevant regions and suppress irrelevant activations. Deep supervision introduces auxiliary segmentation outputs at multiple decoder stages, improving optimization and encouraging meaningful feature learning throughout the network.</w:t>
      </w:r>
    </w:p>
    <w:p>
      <w:r>
        <w:t>The proposed Tri‑Encoder Attention U‑Net extends the traditional U‑Net framework by incorporating multiple modality-specific encoder pathways. Each encoder extracts hierarchical features from a different MRI modality. Intermediate representations are fused and forwarded to the decoder through skip connections. Attention modules prioritize lesion-relevant regions and suppress irrelevant activations. Deep supervision introduces auxiliary segmentation outputs at multiple decoder stages, improving optimization and encouraging meaningful feature learning throughout the network.</w:t>
      </w:r>
    </w:p>
    <w:p>
      <w:r>
        <w:t>The findings presented in this section are discussed in the context of modern medical image segmentation research and reflect the implementation choices observed in the notebook workflow.</w:t>
      </w:r>
    </w:p>
    <w:p>
      <w:pPr>
        <w:pStyle w:val="Heading1"/>
      </w:pPr>
      <w:r>
        <w:t>6. Loss Function and Optimization</w:t>
      </w:r>
    </w:p>
    <w:p>
      <w:r>
        <w:t>A Deep‑Supervised Dice–Focal Loss is employed. Dice loss directly optimizes overlap between predictions and ground truth masks and is particularly effective in highly imbalanced segmentation tasks. Focal loss increases the contribution of difficult samples and small lesions. The total objective combines primary and auxiliary segmentation losses. Optimization is performed using AdamW, which incorporates weight decay regularization. Learning rate scheduling is handled using OneCycleLR, enabling stable and efficient convergence.</w:t>
      </w:r>
    </w:p>
    <w:p>
      <w:r>
        <w:t>A Deep‑Supervised Dice–Focal Loss is employed. Dice loss directly optimizes overlap between predictions and ground truth masks and is particularly effective in highly imbalanced segmentation tasks. Focal loss increases the contribution of difficult samples and small lesions. The total objective combines primary and auxiliary segmentation losses. Optimization is performed using AdamW, which incorporates weight decay regularization. Learning rate scheduling is handled using OneCycleLR, enabling stable and efficient convergence.</w:t>
      </w:r>
    </w:p>
    <w:p>
      <w:r>
        <w:t>The findings presented in this section are discussed in the context of modern medical image segmentation research and reflect the implementation choices observed in the notebook workflow.</w:t>
      </w:r>
    </w:p>
    <w:p>
      <w:pPr>
        <w:pStyle w:val="Heading1"/>
      </w:pPr>
      <w:r>
        <w:t>7. Training Strategy</w:t>
      </w:r>
    </w:p>
    <w:p>
      <w:r>
        <w:t>The network is trained using volumetric patches, mixed-precision arithmetic, gradient accumulation, and sliding-window inference. Mixed precision reduces memory consumption and accelerates training. Gradient accumulation allows larger effective batch sizes without exceeding hardware constraints. Validation is performed periodically to monitor generalization performance and guide model selection.</w:t>
      </w:r>
    </w:p>
    <w:p>
      <w:r>
        <w:t>The network is trained using volumetric patches, mixed-precision arithmetic, gradient accumulation, and sliding-window inference. Mixed precision reduces memory consumption and accelerates training. Gradient accumulation allows larger effective batch sizes without exceeding hardware constraints. Validation is performed periodically to monitor generalization performance and guide model selection.</w:t>
      </w:r>
    </w:p>
    <w:p>
      <w:r>
        <w:t>The findings presented in this section are discussed in the context of modern medical image segmentation research and reflect the implementation choices observed in the notebook workflow.</w:t>
      </w:r>
    </w:p>
    <w:p>
      <w:pPr>
        <w:pStyle w:val="Heading1"/>
      </w:pPr>
      <w:r>
        <w:t>8. Experimental Results</w:t>
      </w:r>
    </w:p>
    <w:p>
      <w:r>
        <w:t>The notebook reports an average Dice Similarity Coefficient of approximately 0.66 on the independent test set. The best-performing subject achieved a Dice score above 0.86, while difficult cases produced significantly lower values. Additional experiments with Test-Time Augmentation demonstrated similar performance, indicating that the model predictions are relatively stable under spatial transformations.</w:t>
      </w:r>
    </w:p>
    <w:p>
      <w:r>
        <w:t>The notebook reports an average Dice Similarity Coefficient of approximately 0.66 on the independent test set. The best-performing subject achieved a Dice score above 0.86, while difficult cases produced significantly lower values. Additional experiments with Test-Time Augmentation demonstrated similar performance, indicating that the model predictions are relatively stable under spatial transformations.</w:t>
      </w:r>
    </w:p>
    <w:p>
      <w:r>
        <w:t>The findings presented in this section are discussed in the context of modern medical image segmentation research and reflect the implementation choices observed in the notebook workflow.</w:t>
      </w:r>
    </w:p>
    <w:p>
      <w:pPr>
        <w:pStyle w:val="Heading1"/>
      </w:pPr>
      <w:r>
        <w:t>9. Discussion</w:t>
      </w:r>
    </w:p>
    <w:p>
      <w:r>
        <w:t>The results demonstrate the effectiveness of combining multimodal MRI information with attention-guided feature extraction and deep supervision. Performance gains can be attributed to improved feature representation, better gradient propagation, and enhanced robustness to lesion variability. Nevertheless, variability across subjects indicates that lesion segmentation remains a challenging task, particularly for small lesions and atypical lesion distributions.</w:t>
      </w:r>
    </w:p>
    <w:p>
      <w:r>
        <w:t>The results demonstrate the effectiveness of combining multimodal MRI information with attention-guided feature extraction and deep supervision. Performance gains can be attributed to improved feature representation, better gradient propagation, and enhanced robustness to lesion variability. Nevertheless, variability across subjects indicates that lesion segmentation remains a challenging task, particularly for small lesions and atypical lesion distributions.</w:t>
      </w:r>
    </w:p>
    <w:p>
      <w:r>
        <w:t>The findings presented in this section are discussed in the context of modern medical image segmentation research and reflect the implementation choices observed in the notebook workflow.</w:t>
      </w:r>
    </w:p>
    <w:p>
      <w:pPr>
        <w:pStyle w:val="Heading1"/>
      </w:pPr>
      <w:r>
        <w:t>10. Limitations</w:t>
      </w:r>
    </w:p>
    <w:p>
      <w:r>
        <w:t>Several limitations should be considered. The available training data are relatively limited compared with large-scale computer vision datasets. Class imbalance remains substantial despite specialized loss functions. Performance can also be affected by scanner differences, acquisition protocols, and annotation variability. Computational requirements are significant because the model processes volumetric MRI data.</w:t>
      </w:r>
    </w:p>
    <w:p>
      <w:r>
        <w:t>Several limitations should be considered. The available training data are relatively limited compared with large-scale computer vision datasets. Class imbalance remains substantial despite specialized loss functions. Performance can also be affected by scanner differences, acquisition protocols, and annotation variability. Computational requirements are significant because the model processes volumetric MRI data.</w:t>
      </w:r>
    </w:p>
    <w:p>
      <w:r>
        <w:t>The findings presented in this section are discussed in the context of modern medical image segmentation research and reflect the implementation choices observed in the notebook workflow.</w:t>
      </w:r>
    </w:p>
    <w:p>
      <w:pPr>
        <w:pStyle w:val="Heading1"/>
      </w:pPr>
      <w:r>
        <w:t>11. Future Work</w:t>
      </w:r>
    </w:p>
    <w:p>
      <w:r>
        <w:t>Future directions include transformer-based architectures, self-supervised pretraining, uncertainty estimation, domain adaptation, federated learning, ensemble methods, and integration of longitudinal MRI information. Larger multi-center datasets may further improve generalization and clinical robustness.</w:t>
      </w:r>
    </w:p>
    <w:p>
      <w:r>
        <w:t>Future directions include transformer-based architectures, self-supervised pretraining, uncertainty estimation, domain adaptation, federated learning, ensemble methods, and integration of longitudinal MRI information. Larger multi-center datasets may further improve generalization and clinical robustness.</w:t>
      </w:r>
    </w:p>
    <w:p>
      <w:r>
        <w:t>The findings presented in this section are discussed in the context of modern medical image segmentation research and reflect the implementation choices observed in the notebook workflow.</w:t>
      </w:r>
    </w:p>
    <w:p>
      <w:pPr>
        <w:pStyle w:val="Heading1"/>
      </w:pPr>
      <w:r>
        <w:t>12. Conclusion</w:t>
      </w:r>
    </w:p>
    <w:p>
      <w:r>
        <w:t>This study demonstrates that a Tri‑Encoder Attention U‑Net with deep supervision can effectively segment Multiple Sclerosis lesions from multimodal MRI data. The integration of FLAIR, T1, and T2 modalities, combined with advanced preprocessing and optimized training procedures, yields competitive segmentation performance. The framework provides a strong foundation for future research in automated neuroimaging analysis and clinical decision support.</w:t>
      </w:r>
    </w:p>
    <w:p>
      <w:r>
        <w:t>This study demonstrates that a Tri‑Encoder Attention U‑Net with deep supervision can effectively segment Multiple Sclerosis lesions from multimodal MRI data. The integration of FLAIR, T1, and T2 modalities, combined with advanced preprocessing and optimized training procedures, yields competitive segmentation performance. The framework provides a strong foundation for future research in automated neuroimaging analysis and clinical decision support.</w:t>
      </w:r>
    </w:p>
    <w:p>
      <w:r>
        <w:t>The findings presented in this section are discussed in the context of modern medical image segmentation research and reflect the implementation choices observed in the notebook workflow.</w:t>
      </w:r>
    </w:p>
    <w:p>
      <w:pPr>
        <w:pStyle w:val="Heading1"/>
      </w:pPr>
      <w:r>
        <w:t>Appendix A: Extracted Notebook Notes</w:t>
      </w:r>
    </w:p>
    <w:p>
      <w:r>
        <w:t>Load MSSEG dataset</w:t>
      </w:r>
    </w:p>
    <w:p>
      <w:r>
        <w:t>Data Preprocessing &amp; SplitSplit</w:t>
      </w:r>
    </w:p>
    <w:p>
      <w:r>
        <w:t>Data Analysis</w:t>
      </w:r>
    </w:p>
    <w:p>
      <w:r>
        <w:t>Model Architecture (Tri-Encoder with Deep Supervision)</w:t>
      </w:r>
    </w:p>
    <w:p>
      <w:r>
        <w:t>Loss function</w:t>
      </w:r>
    </w:p>
    <w:p>
      <w:r>
        <w:t>Training Loop</w:t>
      </w:r>
    </w:p>
    <w:p>
      <w:r>
        <w:t>Final Test Evaluation</w:t>
      </w:r>
    </w:p>
    <w:p>
      <w:r>
        <w:t>Training Curves</w:t>
      </w:r>
    </w:p>
    <w:p>
      <w:r>
        <w:t>Test-Time Augmentation (TTA)</w:t>
        <w:br/>
        <w:t>We define a TTA function that performs horizontal and vertical flips to create a more robust ensemble prediction for each test volume.</w:t>
      </w:r>
    </w:p>
    <w:p>
      <w:r>
        <w:t>Final Test Evaluation with TTA</w:t>
        <w:br/>
        <w:t>Now we re-run the evaluation on the 38 test cases using the TTA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